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E602" w14:textId="77777777" w:rsidR="00F55D7F" w:rsidRDefault="00410162" w:rsidP="00F55D7F">
      <w:pPr>
        <w:spacing w:after="0" w:line="240" w:lineRule="auto"/>
        <w:jc w:val="center"/>
      </w:pPr>
      <w:r>
        <w:rPr>
          <w:noProof/>
        </w:rPr>
        <w:drawing>
          <wp:inline distT="0" distB="0" distL="0" distR="0" wp14:anchorId="3294C097" wp14:editId="0FAD3348">
            <wp:extent cx="3390900" cy="800100"/>
            <wp:effectExtent l="0" t="0" r="0" b="0"/>
            <wp:docPr id="2" name="Picture 2" descr="Full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r Horizon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800100"/>
                    </a:xfrm>
                    <a:prstGeom prst="rect">
                      <a:avLst/>
                    </a:prstGeom>
                    <a:noFill/>
                    <a:ln>
                      <a:noFill/>
                    </a:ln>
                  </pic:spPr>
                </pic:pic>
              </a:graphicData>
            </a:graphic>
          </wp:inline>
        </w:drawing>
      </w:r>
    </w:p>
    <w:p w14:paraId="51D09924" w14:textId="77777777" w:rsidR="00F55D7F" w:rsidRDefault="00F55D7F" w:rsidP="00D55624">
      <w:pPr>
        <w:spacing w:after="0" w:line="240" w:lineRule="auto"/>
        <w:jc w:val="center"/>
      </w:pPr>
    </w:p>
    <w:p w14:paraId="4A8FDFAE" w14:textId="77777777" w:rsidR="00F55D7F" w:rsidRDefault="00F55D7F" w:rsidP="00D55624">
      <w:pPr>
        <w:spacing w:after="0" w:line="240" w:lineRule="auto"/>
        <w:jc w:val="center"/>
      </w:pPr>
    </w:p>
    <w:p w14:paraId="0C84FBBE" w14:textId="77777777" w:rsidR="00441433" w:rsidRPr="003D4A5D" w:rsidRDefault="00C346AD" w:rsidP="00D55624">
      <w:pPr>
        <w:spacing w:after="0" w:line="240" w:lineRule="auto"/>
        <w:jc w:val="center"/>
      </w:pPr>
      <w:r w:rsidRPr="003D4A5D">
        <w:t>COMMONWEALTH OF VIRGINIA</w:t>
      </w:r>
    </w:p>
    <w:p w14:paraId="64BA6038" w14:textId="77777777" w:rsidR="00C346AD" w:rsidRPr="003D4A5D" w:rsidRDefault="00C346AD" w:rsidP="00D55624">
      <w:pPr>
        <w:spacing w:after="0" w:line="240" w:lineRule="auto"/>
        <w:jc w:val="center"/>
      </w:pPr>
      <w:r w:rsidRPr="003D4A5D">
        <w:t>VIRGINIA COMMUNITY COLLEGE SYSTEM</w:t>
      </w:r>
    </w:p>
    <w:p w14:paraId="5D0A2706" w14:textId="77777777" w:rsidR="00441433" w:rsidRPr="003D4A5D" w:rsidRDefault="00441433" w:rsidP="00D55624">
      <w:pPr>
        <w:spacing w:after="0" w:line="240" w:lineRule="auto"/>
        <w:jc w:val="center"/>
      </w:pPr>
    </w:p>
    <w:p w14:paraId="6987F37C" w14:textId="77777777" w:rsidR="00C346AD" w:rsidRPr="003D4A5D" w:rsidRDefault="00C346AD" w:rsidP="00D55624">
      <w:pPr>
        <w:spacing w:after="0" w:line="240" w:lineRule="auto"/>
        <w:jc w:val="center"/>
        <w:rPr>
          <w:b/>
        </w:rPr>
      </w:pPr>
      <w:r w:rsidRPr="003D4A5D">
        <w:rPr>
          <w:b/>
        </w:rPr>
        <w:t xml:space="preserve">WORKFORCE </w:t>
      </w:r>
      <w:r w:rsidR="00F55D7F">
        <w:rPr>
          <w:b/>
        </w:rPr>
        <w:t xml:space="preserve">INNOVATION AND OPPORTUNITY </w:t>
      </w:r>
      <w:r w:rsidRPr="003D4A5D">
        <w:rPr>
          <w:b/>
        </w:rPr>
        <w:t>ACT</w:t>
      </w:r>
    </w:p>
    <w:p w14:paraId="1F94C1E0" w14:textId="77777777" w:rsidR="00441433" w:rsidRPr="003D4A5D" w:rsidRDefault="00441433" w:rsidP="003D4A5D">
      <w:pPr>
        <w:spacing w:after="0" w:line="240" w:lineRule="auto"/>
        <w:rPr>
          <w:b/>
        </w:rPr>
      </w:pPr>
    </w:p>
    <w:p w14:paraId="28DE8272" w14:textId="2109DBF9" w:rsidR="00441433" w:rsidRPr="00D3501D" w:rsidRDefault="00441433" w:rsidP="00D55624">
      <w:pPr>
        <w:pBdr>
          <w:top w:val="double" w:sz="12" w:space="1" w:color="auto"/>
          <w:left w:val="double" w:sz="12" w:space="4" w:color="auto"/>
          <w:bottom w:val="double" w:sz="12" w:space="1" w:color="auto"/>
          <w:right w:val="double" w:sz="12" w:space="4" w:color="auto"/>
        </w:pBdr>
        <w:spacing w:after="0" w:line="240" w:lineRule="auto"/>
        <w:jc w:val="center"/>
        <w:rPr>
          <w:b/>
          <w:sz w:val="18"/>
          <w:szCs w:val="18"/>
        </w:rPr>
      </w:pPr>
      <w:r w:rsidRPr="003D4A5D">
        <w:rPr>
          <w:b/>
        </w:rPr>
        <w:t xml:space="preserve">VIRGINIA WORKFORCE LETTER (VWL) </w:t>
      </w:r>
      <w:r w:rsidR="001631A2">
        <w:rPr>
          <w:b/>
        </w:rPr>
        <w:t>No.</w:t>
      </w:r>
      <w:r w:rsidR="00932B43">
        <w:rPr>
          <w:b/>
        </w:rPr>
        <w:t xml:space="preserve"> </w:t>
      </w:r>
      <w:r w:rsidR="009A4792">
        <w:rPr>
          <w:b/>
        </w:rPr>
        <w:t>19-07</w:t>
      </w:r>
      <w:r w:rsidR="00B03BBF">
        <w:rPr>
          <w:b/>
        </w:rPr>
        <w:t>, Change 1</w:t>
      </w:r>
    </w:p>
    <w:p w14:paraId="7B3F219B" w14:textId="77777777" w:rsidR="00C346AD" w:rsidRPr="003D4A5D" w:rsidRDefault="00C346AD" w:rsidP="003D4A5D">
      <w:pPr>
        <w:spacing w:after="0" w:line="240" w:lineRule="auto"/>
      </w:pPr>
    </w:p>
    <w:p w14:paraId="3FF9417A" w14:textId="77777777" w:rsidR="00441433" w:rsidRPr="00DA49C7" w:rsidRDefault="00441433" w:rsidP="00034CCA">
      <w:pPr>
        <w:spacing w:after="0" w:line="240" w:lineRule="auto"/>
        <w:rPr>
          <w:b/>
        </w:rPr>
      </w:pPr>
    </w:p>
    <w:p w14:paraId="5851BD0F" w14:textId="77777777" w:rsidR="009B6EC7" w:rsidRPr="00DA49C7" w:rsidRDefault="00C346AD" w:rsidP="00CB6941">
      <w:pPr>
        <w:spacing w:after="0" w:line="240" w:lineRule="auto"/>
        <w:ind w:left="1440" w:hanging="1440"/>
        <w:rPr>
          <w:rFonts w:asciiTheme="minorHAnsi" w:hAnsiTheme="minorHAnsi"/>
        </w:rPr>
      </w:pPr>
      <w:r w:rsidRPr="00DA49C7">
        <w:rPr>
          <w:rFonts w:asciiTheme="minorHAnsi" w:hAnsiTheme="minorHAnsi"/>
          <w:b/>
        </w:rPr>
        <w:t>TO:</w:t>
      </w:r>
      <w:r w:rsidRPr="00DA49C7">
        <w:rPr>
          <w:rFonts w:asciiTheme="minorHAnsi" w:hAnsiTheme="minorHAnsi"/>
        </w:rPr>
        <w:t xml:space="preserve"> </w:t>
      </w:r>
      <w:r w:rsidR="00851DA6" w:rsidRPr="00DA49C7">
        <w:rPr>
          <w:rFonts w:asciiTheme="minorHAnsi" w:hAnsiTheme="minorHAnsi"/>
        </w:rPr>
        <w:t xml:space="preserve">     </w:t>
      </w:r>
      <w:r w:rsidR="00573FF8" w:rsidRPr="00DA49C7">
        <w:rPr>
          <w:rFonts w:asciiTheme="minorHAnsi" w:hAnsiTheme="minorHAnsi"/>
        </w:rPr>
        <w:tab/>
      </w:r>
      <w:r w:rsidR="00CC402D">
        <w:rPr>
          <w:rFonts w:asciiTheme="minorHAnsi" w:hAnsiTheme="minorHAnsi"/>
        </w:rPr>
        <w:tab/>
      </w:r>
      <w:r w:rsidR="00932B43">
        <w:rPr>
          <w:rFonts w:asciiTheme="minorHAnsi" w:hAnsiTheme="minorHAnsi"/>
        </w:rPr>
        <w:t>Local Workforce</w:t>
      </w:r>
      <w:r w:rsidR="00573FF8" w:rsidRPr="00DA49C7">
        <w:rPr>
          <w:rFonts w:asciiTheme="minorHAnsi" w:hAnsiTheme="minorHAnsi"/>
        </w:rPr>
        <w:t xml:space="preserve"> </w:t>
      </w:r>
      <w:r w:rsidR="00932B43">
        <w:rPr>
          <w:rFonts w:asciiTheme="minorHAnsi" w:hAnsiTheme="minorHAnsi"/>
        </w:rPr>
        <w:t>Development Boards</w:t>
      </w:r>
    </w:p>
    <w:p w14:paraId="52CEDD30" w14:textId="77777777" w:rsidR="009E4E5A" w:rsidRPr="00DA49C7" w:rsidRDefault="009E4E5A" w:rsidP="00CB6941">
      <w:pPr>
        <w:spacing w:after="0" w:line="240" w:lineRule="auto"/>
        <w:ind w:left="1440" w:hanging="1440"/>
        <w:rPr>
          <w:rFonts w:asciiTheme="minorHAnsi" w:hAnsiTheme="minorHAnsi"/>
        </w:rPr>
      </w:pPr>
    </w:p>
    <w:p w14:paraId="65085420" w14:textId="5C026529" w:rsidR="0004165E" w:rsidRPr="00DA49C7" w:rsidRDefault="00C346AD" w:rsidP="00D55624">
      <w:pPr>
        <w:spacing w:after="0" w:line="240" w:lineRule="auto"/>
        <w:rPr>
          <w:rFonts w:asciiTheme="minorHAnsi" w:hAnsiTheme="minorHAnsi"/>
        </w:rPr>
      </w:pPr>
      <w:r w:rsidRPr="00DA49C7">
        <w:rPr>
          <w:rFonts w:asciiTheme="minorHAnsi" w:hAnsiTheme="minorHAnsi"/>
          <w:b/>
        </w:rPr>
        <w:t>FROM:</w:t>
      </w:r>
      <w:r w:rsidRPr="00DA49C7">
        <w:rPr>
          <w:rFonts w:asciiTheme="minorHAnsi" w:hAnsiTheme="minorHAnsi"/>
        </w:rPr>
        <w:t xml:space="preserve"> </w:t>
      </w:r>
      <w:r w:rsidR="00441433" w:rsidRPr="00DA49C7">
        <w:rPr>
          <w:rFonts w:asciiTheme="minorHAnsi" w:hAnsiTheme="minorHAnsi"/>
        </w:rPr>
        <w:t xml:space="preserve">        </w:t>
      </w:r>
      <w:r w:rsidR="00851DA6" w:rsidRPr="00DA49C7">
        <w:rPr>
          <w:rFonts w:asciiTheme="minorHAnsi" w:hAnsiTheme="minorHAnsi"/>
        </w:rPr>
        <w:t xml:space="preserve"> </w:t>
      </w:r>
      <w:r w:rsidR="00573FF8" w:rsidRPr="00DA49C7">
        <w:rPr>
          <w:rFonts w:asciiTheme="minorHAnsi" w:hAnsiTheme="minorHAnsi"/>
        </w:rPr>
        <w:t xml:space="preserve"> </w:t>
      </w:r>
      <w:r w:rsidR="00D55624" w:rsidRPr="00DA49C7">
        <w:rPr>
          <w:rFonts w:asciiTheme="minorHAnsi" w:hAnsiTheme="minorHAnsi"/>
        </w:rPr>
        <w:t xml:space="preserve">    </w:t>
      </w:r>
      <w:r w:rsidR="00A86579">
        <w:rPr>
          <w:rFonts w:asciiTheme="minorHAnsi" w:hAnsiTheme="minorHAnsi"/>
        </w:rPr>
        <w:tab/>
      </w:r>
      <w:r w:rsidR="00A86579">
        <w:rPr>
          <w:rFonts w:asciiTheme="minorHAnsi" w:hAnsiTheme="minorHAnsi"/>
        </w:rPr>
        <w:tab/>
      </w:r>
      <w:bookmarkStart w:id="0" w:name="_Hlk125018286"/>
      <w:r w:rsidR="005B0597">
        <w:rPr>
          <w:rFonts w:asciiTheme="minorHAnsi" w:hAnsiTheme="minorHAnsi"/>
        </w:rPr>
        <w:t>Randall Stamper</w:t>
      </w:r>
      <w:r w:rsidR="0004165E" w:rsidRPr="00DA49C7">
        <w:rPr>
          <w:rFonts w:asciiTheme="minorHAnsi" w:hAnsiTheme="minorHAnsi"/>
        </w:rPr>
        <w:t xml:space="preserve">  </w:t>
      </w:r>
      <w:r w:rsidR="00ED3999">
        <w:rPr>
          <w:rFonts w:asciiTheme="minorHAnsi" w:hAnsiTheme="minorHAnsi"/>
          <w:noProof/>
        </w:rPr>
        <w:drawing>
          <wp:inline distT="0" distB="0" distL="0" distR="0" wp14:anchorId="72F72694" wp14:editId="25A9DA02">
            <wp:extent cx="1318638"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435" cy="245961"/>
                    </a:xfrm>
                    <a:prstGeom prst="rect">
                      <a:avLst/>
                    </a:prstGeom>
                    <a:noFill/>
                    <a:ln>
                      <a:noFill/>
                    </a:ln>
                  </pic:spPr>
                </pic:pic>
              </a:graphicData>
            </a:graphic>
          </wp:inline>
        </w:drawing>
      </w:r>
      <w:r w:rsidR="0004165E" w:rsidRPr="00DA49C7">
        <w:rPr>
          <w:rFonts w:asciiTheme="minorHAnsi" w:hAnsiTheme="minorHAnsi"/>
        </w:rPr>
        <w:tab/>
      </w:r>
    </w:p>
    <w:p w14:paraId="0B9039BA" w14:textId="5F41C4D3" w:rsidR="003B3505" w:rsidRPr="00DA49C7" w:rsidRDefault="005B0597" w:rsidP="00CC402D">
      <w:pPr>
        <w:spacing w:after="0" w:line="240" w:lineRule="auto"/>
        <w:ind w:left="1440" w:firstLine="720"/>
        <w:rPr>
          <w:rFonts w:asciiTheme="minorHAnsi" w:hAnsiTheme="minorHAnsi"/>
        </w:rPr>
      </w:pPr>
      <w:r>
        <w:rPr>
          <w:rFonts w:asciiTheme="minorHAnsi" w:hAnsiTheme="minorHAnsi"/>
        </w:rPr>
        <w:t>Associate Vice Chancellor of Career Education and Workforce Programs</w:t>
      </w:r>
    </w:p>
    <w:bookmarkEnd w:id="0"/>
    <w:p w14:paraId="37034FD7" w14:textId="77777777" w:rsidR="009B6EC7" w:rsidRPr="00DA49C7" w:rsidRDefault="009B6EC7" w:rsidP="00D55624">
      <w:pPr>
        <w:spacing w:after="0" w:line="240" w:lineRule="auto"/>
        <w:rPr>
          <w:rFonts w:asciiTheme="minorHAnsi" w:hAnsiTheme="minorHAnsi"/>
        </w:rPr>
      </w:pPr>
    </w:p>
    <w:p w14:paraId="151AB896" w14:textId="77777777" w:rsidR="009B6EC7" w:rsidRDefault="00C346AD" w:rsidP="004D1972">
      <w:pPr>
        <w:spacing w:after="0" w:line="240" w:lineRule="auto"/>
        <w:ind w:left="2160" w:hanging="2160"/>
        <w:rPr>
          <w:rFonts w:asciiTheme="minorHAnsi" w:hAnsiTheme="minorHAnsi"/>
        </w:rPr>
      </w:pPr>
      <w:r w:rsidRPr="00DA49C7">
        <w:rPr>
          <w:rFonts w:asciiTheme="minorHAnsi" w:hAnsiTheme="minorHAnsi"/>
          <w:b/>
        </w:rPr>
        <w:t>SUBJECT:</w:t>
      </w:r>
      <w:r w:rsidRPr="00DA49C7">
        <w:rPr>
          <w:rFonts w:asciiTheme="minorHAnsi" w:hAnsiTheme="minorHAnsi"/>
        </w:rPr>
        <w:t xml:space="preserve"> </w:t>
      </w:r>
      <w:r w:rsidR="00441433" w:rsidRPr="00DA49C7">
        <w:rPr>
          <w:rFonts w:asciiTheme="minorHAnsi" w:hAnsiTheme="minorHAnsi"/>
        </w:rPr>
        <w:t xml:space="preserve">  </w:t>
      </w:r>
      <w:r w:rsidR="00573FF8" w:rsidRPr="00DA49C7">
        <w:rPr>
          <w:rFonts w:asciiTheme="minorHAnsi" w:hAnsiTheme="minorHAnsi"/>
        </w:rPr>
        <w:t xml:space="preserve">   </w:t>
      </w:r>
      <w:r w:rsidR="00D55624" w:rsidRPr="00DA49C7">
        <w:rPr>
          <w:rFonts w:asciiTheme="minorHAnsi" w:hAnsiTheme="minorHAnsi"/>
        </w:rPr>
        <w:t xml:space="preserve">    </w:t>
      </w:r>
      <w:r w:rsidR="00C95D2B" w:rsidRPr="00DA49C7">
        <w:rPr>
          <w:rFonts w:asciiTheme="minorHAnsi" w:hAnsiTheme="minorHAnsi"/>
        </w:rPr>
        <w:t xml:space="preserve"> </w:t>
      </w:r>
      <w:r w:rsidR="004D1972">
        <w:rPr>
          <w:rFonts w:asciiTheme="minorHAnsi" w:hAnsiTheme="minorHAnsi"/>
        </w:rPr>
        <w:tab/>
      </w:r>
      <w:r w:rsidR="00AD1F8B">
        <w:rPr>
          <w:rFonts w:asciiTheme="minorHAnsi" w:hAnsiTheme="minorHAnsi"/>
        </w:rPr>
        <w:t xml:space="preserve">WIOA Title I Youth Program </w:t>
      </w:r>
      <w:r w:rsidR="00233D10">
        <w:rPr>
          <w:rFonts w:asciiTheme="minorHAnsi" w:hAnsiTheme="minorHAnsi"/>
        </w:rPr>
        <w:t>Work Experience</w:t>
      </w:r>
      <w:r w:rsidR="00AD1F8B">
        <w:rPr>
          <w:rFonts w:asciiTheme="minorHAnsi" w:hAnsiTheme="minorHAnsi"/>
        </w:rPr>
        <w:t xml:space="preserve"> 20</w:t>
      </w:r>
      <w:r w:rsidR="00796F41">
        <w:rPr>
          <w:rFonts w:asciiTheme="minorHAnsi" w:hAnsiTheme="minorHAnsi"/>
        </w:rPr>
        <w:t>%</w:t>
      </w:r>
      <w:r w:rsidR="00233D10">
        <w:rPr>
          <w:rFonts w:asciiTheme="minorHAnsi" w:hAnsiTheme="minorHAnsi"/>
        </w:rPr>
        <w:t xml:space="preserve"> Expenditure </w:t>
      </w:r>
      <w:r w:rsidR="004D1972">
        <w:rPr>
          <w:rFonts w:asciiTheme="minorHAnsi" w:hAnsiTheme="minorHAnsi"/>
        </w:rPr>
        <w:t xml:space="preserve">Requirement </w:t>
      </w:r>
    </w:p>
    <w:p w14:paraId="3D27FEED" w14:textId="77777777" w:rsidR="00CC402D" w:rsidRPr="00DA49C7" w:rsidRDefault="00CC402D" w:rsidP="00D55624">
      <w:pPr>
        <w:spacing w:after="0" w:line="240" w:lineRule="auto"/>
        <w:rPr>
          <w:rFonts w:asciiTheme="minorHAnsi" w:hAnsiTheme="minorHAnsi"/>
        </w:rPr>
      </w:pPr>
    </w:p>
    <w:p w14:paraId="426B98EC" w14:textId="7E87E3D2" w:rsidR="00233D10" w:rsidRDefault="00D667DF" w:rsidP="00D55624">
      <w:pPr>
        <w:spacing w:after="0" w:line="240" w:lineRule="auto"/>
        <w:rPr>
          <w:rFonts w:asciiTheme="minorHAnsi" w:hAnsiTheme="minorHAnsi"/>
        </w:rPr>
      </w:pPr>
      <w:r>
        <w:rPr>
          <w:rFonts w:asciiTheme="minorHAnsi" w:hAnsiTheme="minorHAnsi"/>
          <w:b/>
        </w:rPr>
        <w:t xml:space="preserve">EFFECTIVE </w:t>
      </w:r>
      <w:r w:rsidR="00C346AD" w:rsidRPr="00DA49C7">
        <w:rPr>
          <w:rFonts w:asciiTheme="minorHAnsi" w:hAnsiTheme="minorHAnsi"/>
          <w:b/>
        </w:rPr>
        <w:t>DATE:</w:t>
      </w:r>
      <w:r w:rsidR="00C346AD" w:rsidRPr="00DA49C7">
        <w:rPr>
          <w:rFonts w:asciiTheme="minorHAnsi" w:hAnsiTheme="minorHAnsi"/>
        </w:rPr>
        <w:t xml:space="preserve"> </w:t>
      </w:r>
      <w:r w:rsidR="00A86579">
        <w:rPr>
          <w:rFonts w:asciiTheme="minorHAnsi" w:hAnsiTheme="minorHAnsi"/>
        </w:rPr>
        <w:tab/>
      </w:r>
      <w:r w:rsidR="00366A7A">
        <w:rPr>
          <w:rFonts w:asciiTheme="minorHAnsi" w:hAnsiTheme="minorHAnsi"/>
        </w:rPr>
        <w:t>January 21, 2023</w:t>
      </w:r>
    </w:p>
    <w:p w14:paraId="34D672DF" w14:textId="77777777" w:rsidR="00621FF0" w:rsidRPr="00DA49C7" w:rsidRDefault="00D55624" w:rsidP="00D55624">
      <w:pPr>
        <w:spacing w:after="0" w:line="240" w:lineRule="auto"/>
        <w:rPr>
          <w:rFonts w:asciiTheme="minorHAnsi" w:hAnsiTheme="minorHAnsi"/>
        </w:rPr>
      </w:pPr>
      <w:r w:rsidRPr="00DA49C7">
        <w:rPr>
          <w:rFonts w:asciiTheme="minorHAnsi" w:hAnsiTheme="minorHAnsi"/>
        </w:rPr>
        <w:tab/>
      </w:r>
      <w:r w:rsidR="0004165E" w:rsidRPr="00DA49C7">
        <w:rPr>
          <w:rFonts w:asciiTheme="minorHAnsi" w:hAnsiTheme="minorHAnsi"/>
        </w:rPr>
        <w:t xml:space="preserve"> </w:t>
      </w:r>
    </w:p>
    <w:p w14:paraId="2201A663" w14:textId="77777777" w:rsidR="009B6EC7" w:rsidRPr="00DA49C7" w:rsidRDefault="00441433" w:rsidP="003D4A5D">
      <w:pPr>
        <w:spacing w:after="0" w:line="240" w:lineRule="auto"/>
        <w:rPr>
          <w:rFonts w:asciiTheme="minorHAnsi" w:hAnsiTheme="minorHAnsi"/>
        </w:rPr>
      </w:pPr>
      <w:r w:rsidRPr="00DA49C7">
        <w:rPr>
          <w:rFonts w:asciiTheme="minorHAnsi" w:hAnsiTheme="minorHAnsi"/>
        </w:rPr>
        <w:t>______________________________________________________________________________</w:t>
      </w:r>
    </w:p>
    <w:p w14:paraId="3458E17B" w14:textId="77777777" w:rsidR="00283E26" w:rsidRPr="00DA49C7" w:rsidRDefault="00283E26" w:rsidP="003D4A5D">
      <w:pPr>
        <w:spacing w:after="0" w:line="240" w:lineRule="auto"/>
        <w:rPr>
          <w:rFonts w:asciiTheme="minorHAnsi" w:hAnsiTheme="minorHAnsi"/>
        </w:rPr>
      </w:pPr>
    </w:p>
    <w:p w14:paraId="50CF0A64" w14:textId="77777777" w:rsidR="000658F0" w:rsidRPr="00DA49C7" w:rsidRDefault="005442FE" w:rsidP="00783108">
      <w:pPr>
        <w:spacing w:after="0" w:line="240" w:lineRule="auto"/>
        <w:rPr>
          <w:rFonts w:asciiTheme="minorHAnsi" w:hAnsiTheme="minorHAnsi"/>
          <w:b/>
        </w:rPr>
      </w:pPr>
      <w:r w:rsidRPr="00DA49C7">
        <w:rPr>
          <w:rFonts w:asciiTheme="minorHAnsi" w:hAnsiTheme="minorHAnsi"/>
          <w:b/>
        </w:rPr>
        <w:t>PURPOSE</w:t>
      </w:r>
      <w:r w:rsidR="00BF1578" w:rsidRPr="00DA49C7">
        <w:rPr>
          <w:rFonts w:asciiTheme="minorHAnsi" w:hAnsiTheme="minorHAnsi"/>
          <w:b/>
        </w:rPr>
        <w:t>:</w:t>
      </w:r>
    </w:p>
    <w:p w14:paraId="31CE8EF2" w14:textId="77777777" w:rsidR="00304675" w:rsidRDefault="00304675" w:rsidP="00783108">
      <w:pPr>
        <w:spacing w:after="0" w:line="240" w:lineRule="auto"/>
        <w:rPr>
          <w:rFonts w:asciiTheme="minorHAnsi" w:hAnsiTheme="minorHAnsi" w:cs="Calibri"/>
        </w:rPr>
      </w:pPr>
    </w:p>
    <w:p w14:paraId="5C4EB3FA" w14:textId="77777777" w:rsidR="00E70B93" w:rsidRDefault="00304675" w:rsidP="00783108">
      <w:pPr>
        <w:spacing w:after="0" w:line="240" w:lineRule="auto"/>
        <w:rPr>
          <w:rFonts w:asciiTheme="minorHAnsi" w:hAnsiTheme="minorHAnsi" w:cs="Calibri"/>
        </w:rPr>
      </w:pPr>
      <w:r w:rsidRPr="00304675">
        <w:rPr>
          <w:rFonts w:asciiTheme="minorHAnsi" w:hAnsiTheme="minorHAnsi" w:cs="Calibri"/>
        </w:rPr>
        <w:t>To provide the Local Workforce Development Area</w:t>
      </w:r>
      <w:r w:rsidR="00943E65">
        <w:rPr>
          <w:rFonts w:asciiTheme="minorHAnsi" w:hAnsiTheme="minorHAnsi" w:cs="Calibri"/>
        </w:rPr>
        <w:t>s</w:t>
      </w:r>
      <w:r w:rsidRPr="00304675">
        <w:rPr>
          <w:rFonts w:asciiTheme="minorHAnsi" w:hAnsiTheme="minorHAnsi" w:cs="Calibri"/>
        </w:rPr>
        <w:t xml:space="preserve"> guidance on the </w:t>
      </w:r>
      <w:r>
        <w:rPr>
          <w:rFonts w:asciiTheme="minorHAnsi" w:hAnsiTheme="minorHAnsi" w:cs="Calibri"/>
        </w:rPr>
        <w:t xml:space="preserve">Work Experience (WEX) expenditure requirements </w:t>
      </w:r>
      <w:r w:rsidRPr="00304675">
        <w:rPr>
          <w:rFonts w:asciiTheme="minorHAnsi" w:hAnsiTheme="minorHAnsi" w:cs="Calibri"/>
        </w:rPr>
        <w:t xml:space="preserve">under </w:t>
      </w:r>
      <w:r w:rsidR="00943E65">
        <w:rPr>
          <w:rFonts w:asciiTheme="minorHAnsi" w:hAnsiTheme="minorHAnsi" w:cs="Calibri"/>
        </w:rPr>
        <w:t xml:space="preserve">the </w:t>
      </w:r>
      <w:r w:rsidRPr="00304675">
        <w:rPr>
          <w:rFonts w:asciiTheme="minorHAnsi" w:hAnsiTheme="minorHAnsi" w:cs="Calibri"/>
        </w:rPr>
        <w:t>W</w:t>
      </w:r>
      <w:r w:rsidR="00AF66B4">
        <w:rPr>
          <w:rFonts w:asciiTheme="minorHAnsi" w:hAnsiTheme="minorHAnsi" w:cs="Calibri"/>
        </w:rPr>
        <w:t>orkforce Innovation and Opportunity Act (W</w:t>
      </w:r>
      <w:r w:rsidRPr="00304675">
        <w:rPr>
          <w:rFonts w:asciiTheme="minorHAnsi" w:hAnsiTheme="minorHAnsi" w:cs="Calibri"/>
        </w:rPr>
        <w:t>IOA</w:t>
      </w:r>
      <w:r w:rsidR="00AF66B4">
        <w:rPr>
          <w:rFonts w:asciiTheme="minorHAnsi" w:hAnsiTheme="minorHAnsi" w:cs="Calibri"/>
        </w:rPr>
        <w:t>)</w:t>
      </w:r>
      <w:r w:rsidRPr="00304675">
        <w:rPr>
          <w:rFonts w:asciiTheme="minorHAnsi" w:hAnsiTheme="minorHAnsi" w:cs="Calibri"/>
        </w:rPr>
        <w:t xml:space="preserve"> Title I Youth Program. This policy defines the parameters of the Title I Youth</w:t>
      </w:r>
      <w:r w:rsidR="00E5052A">
        <w:rPr>
          <w:rFonts w:asciiTheme="minorHAnsi" w:hAnsiTheme="minorHAnsi" w:cs="Calibri"/>
        </w:rPr>
        <w:t xml:space="preserve"> </w:t>
      </w:r>
      <w:r>
        <w:rPr>
          <w:rFonts w:asciiTheme="minorHAnsi" w:hAnsiTheme="minorHAnsi" w:cs="Calibri"/>
        </w:rPr>
        <w:t>WEX</w:t>
      </w:r>
      <w:r w:rsidR="00E5052A">
        <w:rPr>
          <w:rFonts w:asciiTheme="minorHAnsi" w:hAnsiTheme="minorHAnsi" w:cs="Calibri"/>
        </w:rPr>
        <w:t xml:space="preserve"> </w:t>
      </w:r>
      <w:r w:rsidRPr="00304675">
        <w:rPr>
          <w:rFonts w:asciiTheme="minorHAnsi" w:hAnsiTheme="minorHAnsi" w:cs="Calibri"/>
        </w:rPr>
        <w:t>Program</w:t>
      </w:r>
      <w:r w:rsidR="003A161A">
        <w:rPr>
          <w:rFonts w:asciiTheme="minorHAnsi" w:hAnsiTheme="minorHAnsi" w:cs="Calibri"/>
        </w:rPr>
        <w:t xml:space="preserve"> 20 percent expenditure</w:t>
      </w:r>
      <w:r w:rsidRPr="00304675">
        <w:rPr>
          <w:rFonts w:asciiTheme="minorHAnsi" w:hAnsiTheme="minorHAnsi" w:cs="Calibri"/>
        </w:rPr>
        <w:t xml:space="preserve"> </w:t>
      </w:r>
      <w:r w:rsidR="00AF66B4">
        <w:rPr>
          <w:rFonts w:asciiTheme="minorHAnsi" w:hAnsiTheme="minorHAnsi" w:cs="Calibri"/>
        </w:rPr>
        <w:t xml:space="preserve">requirement </w:t>
      </w:r>
      <w:r w:rsidRPr="00304675">
        <w:rPr>
          <w:rFonts w:asciiTheme="minorHAnsi" w:hAnsiTheme="minorHAnsi" w:cs="Calibri"/>
        </w:rPr>
        <w:t xml:space="preserve">with emphasis on </w:t>
      </w:r>
      <w:r>
        <w:rPr>
          <w:rFonts w:asciiTheme="minorHAnsi" w:hAnsiTheme="minorHAnsi" w:cs="Calibri"/>
        </w:rPr>
        <w:t xml:space="preserve">providing </w:t>
      </w:r>
      <w:r w:rsidR="00B4094B">
        <w:rPr>
          <w:rFonts w:asciiTheme="minorHAnsi" w:hAnsiTheme="minorHAnsi" w:cs="Calibri"/>
        </w:rPr>
        <w:t>priority to the</w:t>
      </w:r>
      <w:r w:rsidR="00E5052A">
        <w:rPr>
          <w:rFonts w:asciiTheme="minorHAnsi" w:hAnsiTheme="minorHAnsi" w:cs="Calibri"/>
        </w:rPr>
        <w:t xml:space="preserve"> </w:t>
      </w:r>
      <w:r w:rsidR="00B4094B">
        <w:rPr>
          <w:rFonts w:asciiTheme="minorHAnsi" w:hAnsiTheme="minorHAnsi" w:cs="Calibri"/>
        </w:rPr>
        <w:t>WEX</w:t>
      </w:r>
      <w:r w:rsidR="00E5052A">
        <w:rPr>
          <w:rFonts w:asciiTheme="minorHAnsi" w:hAnsiTheme="minorHAnsi" w:cs="Calibri"/>
        </w:rPr>
        <w:t xml:space="preserve"> </w:t>
      </w:r>
      <w:r w:rsidR="00B4094B">
        <w:rPr>
          <w:rFonts w:asciiTheme="minorHAnsi" w:hAnsiTheme="minorHAnsi" w:cs="Calibri"/>
        </w:rPr>
        <w:t xml:space="preserve">activity. </w:t>
      </w:r>
      <w:r>
        <w:rPr>
          <w:rFonts w:asciiTheme="minorHAnsi" w:hAnsiTheme="minorHAnsi" w:cs="Calibri"/>
        </w:rPr>
        <w:t xml:space="preserve">  </w:t>
      </w:r>
    </w:p>
    <w:p w14:paraId="525B6465" w14:textId="77777777" w:rsidR="00231E06" w:rsidRDefault="00231E06" w:rsidP="00783108">
      <w:pPr>
        <w:spacing w:after="0" w:line="240" w:lineRule="auto"/>
        <w:rPr>
          <w:rFonts w:asciiTheme="minorHAnsi" w:hAnsiTheme="minorHAnsi" w:cs="Calibri"/>
        </w:rPr>
      </w:pPr>
    </w:p>
    <w:p w14:paraId="17276A15" w14:textId="77777777" w:rsidR="00FD7A8D" w:rsidRDefault="00FD7A8D" w:rsidP="00783108">
      <w:pPr>
        <w:spacing w:after="0" w:line="240" w:lineRule="auto"/>
        <w:rPr>
          <w:rFonts w:asciiTheme="minorHAnsi" w:hAnsiTheme="minorHAnsi"/>
          <w:b/>
        </w:rPr>
      </w:pPr>
    </w:p>
    <w:p w14:paraId="5E1D76FA" w14:textId="77777777" w:rsidR="008F6E20" w:rsidRPr="00DA49C7" w:rsidRDefault="005442FE" w:rsidP="00783108">
      <w:pPr>
        <w:spacing w:after="0" w:line="240" w:lineRule="auto"/>
        <w:rPr>
          <w:rFonts w:asciiTheme="minorHAnsi" w:hAnsiTheme="minorHAnsi"/>
          <w:b/>
        </w:rPr>
      </w:pPr>
      <w:r w:rsidRPr="00DA49C7">
        <w:rPr>
          <w:rFonts w:asciiTheme="minorHAnsi" w:hAnsiTheme="minorHAnsi"/>
          <w:b/>
        </w:rPr>
        <w:t>REFERENCES</w:t>
      </w:r>
      <w:r w:rsidR="00EB1635" w:rsidRPr="00DA49C7">
        <w:rPr>
          <w:rFonts w:asciiTheme="minorHAnsi" w:hAnsiTheme="minorHAnsi"/>
          <w:b/>
        </w:rPr>
        <w:t>:</w:t>
      </w:r>
    </w:p>
    <w:p w14:paraId="2B6A3C5F" w14:textId="77777777" w:rsidR="00C41B5E" w:rsidRDefault="00C41B5E" w:rsidP="00783108">
      <w:pPr>
        <w:spacing w:after="0" w:line="240" w:lineRule="auto"/>
        <w:rPr>
          <w:rFonts w:asciiTheme="minorHAnsi" w:hAnsiTheme="minorHAnsi"/>
        </w:rPr>
      </w:pPr>
    </w:p>
    <w:p w14:paraId="259AE367" w14:textId="77777777" w:rsidR="009A34FF" w:rsidRDefault="000113C8" w:rsidP="00783108">
      <w:pPr>
        <w:spacing w:after="0" w:line="240" w:lineRule="auto"/>
        <w:rPr>
          <w:rFonts w:asciiTheme="minorHAnsi" w:hAnsiTheme="minorHAnsi"/>
        </w:rPr>
      </w:pPr>
      <w:r w:rsidRPr="000113C8">
        <w:rPr>
          <w:rFonts w:asciiTheme="minorHAnsi" w:hAnsiTheme="minorHAnsi"/>
        </w:rPr>
        <w:t xml:space="preserve">Workforce Innovation and Opportunity Act (WIOA) P.L. secs.113- 128; </w:t>
      </w:r>
      <w:r w:rsidR="009A34FF">
        <w:rPr>
          <w:rFonts w:asciiTheme="minorHAnsi" w:hAnsiTheme="minorHAnsi"/>
        </w:rPr>
        <w:t>Title I Section 129</w:t>
      </w:r>
    </w:p>
    <w:p w14:paraId="4212A68F" w14:textId="77777777" w:rsidR="000113C8" w:rsidRDefault="009A34FF" w:rsidP="00783108">
      <w:pPr>
        <w:spacing w:after="0" w:line="240" w:lineRule="auto"/>
        <w:rPr>
          <w:rFonts w:asciiTheme="minorHAnsi" w:hAnsiTheme="minorHAnsi"/>
        </w:rPr>
      </w:pPr>
      <w:r>
        <w:rPr>
          <w:rFonts w:asciiTheme="minorHAnsi" w:hAnsiTheme="minorHAnsi"/>
        </w:rPr>
        <w:t xml:space="preserve">Federal Register, Department of Labor, </w:t>
      </w:r>
      <w:r w:rsidRPr="009D280B">
        <w:rPr>
          <w:rFonts w:asciiTheme="minorHAnsi" w:hAnsiTheme="minorHAnsi"/>
          <w:noProof/>
        </w:rPr>
        <w:t>Employment</w:t>
      </w:r>
      <w:r>
        <w:rPr>
          <w:rFonts w:asciiTheme="minorHAnsi" w:hAnsiTheme="minorHAnsi"/>
        </w:rPr>
        <w:t xml:space="preserve"> and Training Administration, </w:t>
      </w:r>
      <w:r w:rsidR="000113C8" w:rsidRPr="000113C8">
        <w:rPr>
          <w:rFonts w:asciiTheme="minorHAnsi" w:hAnsiTheme="minorHAnsi"/>
        </w:rPr>
        <w:t>20 CFR §68</w:t>
      </w:r>
      <w:r>
        <w:rPr>
          <w:rFonts w:asciiTheme="minorHAnsi" w:hAnsiTheme="minorHAnsi"/>
        </w:rPr>
        <w:t>0</w:t>
      </w:r>
      <w:r w:rsidR="000113C8" w:rsidRPr="000113C8">
        <w:rPr>
          <w:rFonts w:asciiTheme="minorHAnsi" w:hAnsiTheme="minorHAnsi"/>
        </w:rPr>
        <w:t>; Final Rules</w:t>
      </w:r>
    </w:p>
    <w:p w14:paraId="608C8201" w14:textId="77777777" w:rsidR="009A34FF" w:rsidRDefault="009A34FF" w:rsidP="00783108">
      <w:pPr>
        <w:spacing w:after="0" w:line="240" w:lineRule="auto"/>
        <w:rPr>
          <w:rFonts w:asciiTheme="minorHAnsi" w:hAnsiTheme="minorHAnsi"/>
        </w:rPr>
      </w:pPr>
      <w:r w:rsidRPr="009A34FF">
        <w:rPr>
          <w:rFonts w:asciiTheme="minorHAnsi" w:hAnsiTheme="minorHAnsi"/>
        </w:rPr>
        <w:t xml:space="preserve">Federal Register, Department of Labor, </w:t>
      </w:r>
      <w:r w:rsidRPr="009D280B">
        <w:rPr>
          <w:rFonts w:asciiTheme="minorHAnsi" w:hAnsiTheme="minorHAnsi"/>
          <w:noProof/>
        </w:rPr>
        <w:t>Employment</w:t>
      </w:r>
      <w:r w:rsidRPr="009A34FF">
        <w:rPr>
          <w:rFonts w:asciiTheme="minorHAnsi" w:hAnsiTheme="minorHAnsi"/>
        </w:rPr>
        <w:t xml:space="preserve"> and Training Administration, 20 CFR §681; Final Rules</w:t>
      </w:r>
    </w:p>
    <w:p w14:paraId="09645A33" w14:textId="77777777" w:rsidR="00DF2516" w:rsidRDefault="00DF2516" w:rsidP="00783108">
      <w:pPr>
        <w:spacing w:after="0" w:line="240" w:lineRule="auto"/>
        <w:rPr>
          <w:rFonts w:asciiTheme="minorHAnsi" w:hAnsiTheme="minorHAnsi"/>
        </w:rPr>
      </w:pPr>
      <w:r w:rsidRPr="00C41B5E">
        <w:rPr>
          <w:rFonts w:asciiTheme="minorHAnsi" w:hAnsiTheme="minorHAnsi"/>
        </w:rPr>
        <w:t>U.S. Dept. of Labor Training and Employment Guidance Letter</w:t>
      </w:r>
      <w:r>
        <w:rPr>
          <w:rFonts w:asciiTheme="minorHAnsi" w:hAnsiTheme="minorHAnsi"/>
        </w:rPr>
        <w:t xml:space="preserve"> (TEGL)</w:t>
      </w:r>
      <w:r w:rsidRPr="00C41B5E">
        <w:rPr>
          <w:rFonts w:asciiTheme="minorHAnsi" w:hAnsiTheme="minorHAnsi"/>
        </w:rPr>
        <w:t xml:space="preserve"> No. </w:t>
      </w:r>
      <w:r>
        <w:rPr>
          <w:rFonts w:asciiTheme="minorHAnsi" w:hAnsiTheme="minorHAnsi"/>
        </w:rPr>
        <w:t xml:space="preserve">21-16: Operating Guidance for the Workforce Innovation and Opportunity Act; </w:t>
      </w:r>
      <w:r w:rsidRPr="00DF2516">
        <w:rPr>
          <w:rFonts w:asciiTheme="minorHAnsi" w:hAnsiTheme="minorHAnsi"/>
        </w:rPr>
        <w:t>Third Workforce Innovation and Opportunity Act (WIOA) Title I Youth Formula Program Guidance</w:t>
      </w:r>
      <w:r>
        <w:rPr>
          <w:rFonts w:asciiTheme="minorHAnsi" w:hAnsiTheme="minorHAnsi"/>
        </w:rPr>
        <w:t xml:space="preserve"> </w:t>
      </w:r>
      <w:r w:rsidRPr="00C41B5E">
        <w:rPr>
          <w:rFonts w:asciiTheme="minorHAnsi" w:hAnsiTheme="minorHAnsi"/>
        </w:rPr>
        <w:t xml:space="preserve"> </w:t>
      </w:r>
    </w:p>
    <w:p w14:paraId="69E51757" w14:textId="77777777" w:rsidR="00C41B5E" w:rsidRDefault="00C41B5E" w:rsidP="00783108">
      <w:pPr>
        <w:spacing w:after="0" w:line="240" w:lineRule="auto"/>
        <w:rPr>
          <w:rFonts w:asciiTheme="minorHAnsi" w:hAnsiTheme="minorHAnsi"/>
        </w:rPr>
      </w:pPr>
      <w:r w:rsidRPr="00C41B5E">
        <w:rPr>
          <w:rFonts w:asciiTheme="minorHAnsi" w:hAnsiTheme="minorHAnsi"/>
        </w:rPr>
        <w:t>U.S. Dept. of Labor Training and Employment Guidance Letter</w:t>
      </w:r>
      <w:r w:rsidR="009A34FF">
        <w:rPr>
          <w:rFonts w:asciiTheme="minorHAnsi" w:hAnsiTheme="minorHAnsi"/>
        </w:rPr>
        <w:t xml:space="preserve"> (TEGL)</w:t>
      </w:r>
      <w:r w:rsidRPr="00C41B5E">
        <w:rPr>
          <w:rFonts w:asciiTheme="minorHAnsi" w:hAnsiTheme="minorHAnsi"/>
        </w:rPr>
        <w:t xml:space="preserve"> No. 23-14</w:t>
      </w:r>
      <w:r w:rsidR="009A34FF">
        <w:rPr>
          <w:rFonts w:asciiTheme="minorHAnsi" w:hAnsiTheme="minorHAnsi"/>
        </w:rPr>
        <w:t>: Operating Guidance for the Workforce Innovation and Opportunity Act</w:t>
      </w:r>
      <w:r w:rsidR="00DF2516">
        <w:rPr>
          <w:rFonts w:asciiTheme="minorHAnsi" w:hAnsiTheme="minorHAnsi"/>
        </w:rPr>
        <w:t xml:space="preserve">; </w:t>
      </w:r>
      <w:r w:rsidR="00DF2516" w:rsidRPr="00DF2516">
        <w:rPr>
          <w:rFonts w:asciiTheme="minorHAnsi" w:hAnsiTheme="minorHAnsi"/>
        </w:rPr>
        <w:t>Workforce Innovation and Opportunity Act (WIOA) Youth Program Transition</w:t>
      </w:r>
      <w:r w:rsidRPr="00C41B5E">
        <w:rPr>
          <w:rFonts w:asciiTheme="minorHAnsi" w:hAnsiTheme="minorHAnsi"/>
        </w:rPr>
        <w:t xml:space="preserve"> </w:t>
      </w:r>
    </w:p>
    <w:p w14:paraId="14BD4305" w14:textId="77777777" w:rsidR="00711779" w:rsidRDefault="009A34FF" w:rsidP="00783108">
      <w:pPr>
        <w:autoSpaceDE w:val="0"/>
        <w:autoSpaceDN w:val="0"/>
        <w:adjustRightInd w:val="0"/>
        <w:spacing w:after="0" w:line="240" w:lineRule="auto"/>
        <w:rPr>
          <w:rFonts w:asciiTheme="minorHAnsi" w:hAnsiTheme="minorHAnsi" w:cs="Calibri"/>
          <w:bCs/>
        </w:rPr>
      </w:pPr>
      <w:r w:rsidRPr="009A34FF">
        <w:rPr>
          <w:rFonts w:asciiTheme="minorHAnsi" w:hAnsiTheme="minorHAnsi" w:cs="Calibri"/>
          <w:bCs/>
        </w:rPr>
        <w:lastRenderedPageBreak/>
        <w:t xml:space="preserve">U.S. Dept. of Labor Training and Employment Guidance Letter (TEGL) No. </w:t>
      </w:r>
      <w:r w:rsidR="00DF2516">
        <w:rPr>
          <w:rFonts w:asciiTheme="minorHAnsi" w:hAnsiTheme="minorHAnsi" w:cs="Calibri"/>
          <w:bCs/>
        </w:rPr>
        <w:t>08-15</w:t>
      </w:r>
      <w:r w:rsidRPr="009A34FF">
        <w:rPr>
          <w:rFonts w:asciiTheme="minorHAnsi" w:hAnsiTheme="minorHAnsi" w:cs="Calibri"/>
          <w:bCs/>
        </w:rPr>
        <w:t>: Operating Guidance for the Workforce Innovation and Opportunity Act</w:t>
      </w:r>
      <w:r w:rsidR="00DF2516">
        <w:rPr>
          <w:rFonts w:asciiTheme="minorHAnsi" w:hAnsiTheme="minorHAnsi" w:cs="Calibri"/>
          <w:bCs/>
        </w:rPr>
        <w:t xml:space="preserve">; </w:t>
      </w:r>
      <w:r w:rsidR="00DF2516" w:rsidRPr="00DF2516">
        <w:rPr>
          <w:rFonts w:asciiTheme="minorHAnsi" w:hAnsiTheme="minorHAnsi" w:cs="Calibri"/>
          <w:bCs/>
        </w:rPr>
        <w:t>Second Title 1 WIOA Youth Program Transition Guidance</w:t>
      </w:r>
    </w:p>
    <w:p w14:paraId="6D59F9B6" w14:textId="77777777" w:rsidR="00152C98" w:rsidRPr="009A34FF" w:rsidRDefault="00152C98" w:rsidP="00783108">
      <w:pPr>
        <w:autoSpaceDE w:val="0"/>
        <w:autoSpaceDN w:val="0"/>
        <w:adjustRightInd w:val="0"/>
        <w:spacing w:after="0" w:line="240" w:lineRule="auto"/>
        <w:rPr>
          <w:rFonts w:asciiTheme="minorHAnsi" w:hAnsiTheme="minorHAnsi" w:cs="Calibri"/>
          <w:bCs/>
        </w:rPr>
      </w:pPr>
    </w:p>
    <w:p w14:paraId="2FCDA032" w14:textId="77777777" w:rsidR="00F002A6" w:rsidRDefault="00F002A6" w:rsidP="00783108">
      <w:pPr>
        <w:autoSpaceDE w:val="0"/>
        <w:autoSpaceDN w:val="0"/>
        <w:adjustRightInd w:val="0"/>
        <w:spacing w:after="0" w:line="240" w:lineRule="auto"/>
        <w:rPr>
          <w:rFonts w:asciiTheme="minorHAnsi" w:hAnsiTheme="minorHAnsi" w:cs="Calibri"/>
          <w:b/>
          <w:bCs/>
        </w:rPr>
      </w:pPr>
      <w:r>
        <w:rPr>
          <w:rFonts w:asciiTheme="minorHAnsi" w:hAnsiTheme="minorHAnsi" w:cs="Calibri"/>
          <w:b/>
          <w:bCs/>
        </w:rPr>
        <w:t>REVISION HISTORY:</w:t>
      </w:r>
    </w:p>
    <w:p w14:paraId="7E877959" w14:textId="77777777" w:rsidR="00F002A6" w:rsidRDefault="00F002A6" w:rsidP="00783108">
      <w:pPr>
        <w:autoSpaceDE w:val="0"/>
        <w:autoSpaceDN w:val="0"/>
        <w:adjustRightInd w:val="0"/>
        <w:spacing w:after="0" w:line="240" w:lineRule="auto"/>
        <w:rPr>
          <w:rFonts w:asciiTheme="minorHAnsi" w:hAnsiTheme="minorHAnsi" w:cs="Calibri"/>
          <w:bCs/>
        </w:rPr>
      </w:pPr>
    </w:p>
    <w:p w14:paraId="2E474DB5" w14:textId="77D09836" w:rsidR="00F002A6" w:rsidRDefault="00B03BBF" w:rsidP="00783108">
      <w:pPr>
        <w:autoSpaceDE w:val="0"/>
        <w:autoSpaceDN w:val="0"/>
        <w:adjustRightInd w:val="0"/>
        <w:spacing w:after="0" w:line="240" w:lineRule="auto"/>
        <w:rPr>
          <w:rFonts w:asciiTheme="minorHAnsi" w:hAnsiTheme="minorHAnsi" w:cs="Calibri"/>
          <w:bCs/>
        </w:rPr>
      </w:pPr>
      <w:bookmarkStart w:id="1" w:name="_Hlk125020264"/>
      <w:r>
        <w:rPr>
          <w:rFonts w:asciiTheme="minorHAnsi" w:hAnsiTheme="minorHAnsi" w:cs="Calibri"/>
          <w:bCs/>
        </w:rPr>
        <w:t>Change 1 provides the update that the educational component of the work experience may be provided, before, during, or after the work experience, instead of simultaneously as previously required.</w:t>
      </w:r>
      <w:r w:rsidR="005B0597">
        <w:rPr>
          <w:rFonts w:asciiTheme="minorHAnsi" w:hAnsiTheme="minorHAnsi" w:cs="Calibri"/>
          <w:bCs/>
        </w:rPr>
        <w:t xml:space="preserve">  See Guidance section A(b). </w:t>
      </w:r>
    </w:p>
    <w:bookmarkEnd w:id="1"/>
    <w:p w14:paraId="007CF4B2" w14:textId="77777777" w:rsidR="00F002A6" w:rsidRPr="00F002A6" w:rsidRDefault="00F002A6" w:rsidP="00783108">
      <w:pPr>
        <w:autoSpaceDE w:val="0"/>
        <w:autoSpaceDN w:val="0"/>
        <w:adjustRightInd w:val="0"/>
        <w:spacing w:after="0" w:line="240" w:lineRule="auto"/>
        <w:rPr>
          <w:rFonts w:asciiTheme="minorHAnsi" w:hAnsiTheme="minorHAnsi" w:cs="Calibri"/>
          <w:bCs/>
        </w:rPr>
      </w:pPr>
    </w:p>
    <w:p w14:paraId="54C3FF45" w14:textId="77777777" w:rsidR="00152C98" w:rsidRDefault="00152C98" w:rsidP="00783108">
      <w:pPr>
        <w:autoSpaceDE w:val="0"/>
        <w:autoSpaceDN w:val="0"/>
        <w:adjustRightInd w:val="0"/>
        <w:spacing w:after="0" w:line="240" w:lineRule="auto"/>
        <w:rPr>
          <w:rFonts w:asciiTheme="minorHAnsi" w:hAnsiTheme="minorHAnsi" w:cs="Calibri"/>
          <w:b/>
          <w:bCs/>
        </w:rPr>
      </w:pPr>
    </w:p>
    <w:p w14:paraId="7E24D327" w14:textId="77777777" w:rsidR="000658F0" w:rsidRPr="00DA49C7" w:rsidRDefault="000658F0" w:rsidP="00783108">
      <w:pPr>
        <w:autoSpaceDE w:val="0"/>
        <w:autoSpaceDN w:val="0"/>
        <w:adjustRightInd w:val="0"/>
        <w:spacing w:after="0" w:line="240" w:lineRule="auto"/>
        <w:rPr>
          <w:rFonts w:asciiTheme="minorHAnsi" w:hAnsiTheme="minorHAnsi" w:cs="Calibri"/>
        </w:rPr>
      </w:pPr>
      <w:r w:rsidRPr="00DA49C7">
        <w:rPr>
          <w:rFonts w:asciiTheme="minorHAnsi" w:hAnsiTheme="minorHAnsi" w:cs="Calibri"/>
          <w:b/>
          <w:bCs/>
        </w:rPr>
        <w:t xml:space="preserve">DEFINITIONS: </w:t>
      </w:r>
    </w:p>
    <w:p w14:paraId="65C589B5" w14:textId="77777777" w:rsidR="00F04B91" w:rsidRDefault="00F04B91" w:rsidP="00783108">
      <w:pPr>
        <w:autoSpaceDE w:val="0"/>
        <w:autoSpaceDN w:val="0"/>
        <w:adjustRightInd w:val="0"/>
        <w:spacing w:after="0" w:line="240" w:lineRule="auto"/>
        <w:rPr>
          <w:rFonts w:asciiTheme="minorHAnsi" w:hAnsiTheme="minorHAnsi" w:cs="Calibri"/>
          <w:b/>
          <w:bCs/>
        </w:rPr>
      </w:pPr>
    </w:p>
    <w:p w14:paraId="6640DF69" w14:textId="77777777" w:rsidR="006335E9" w:rsidRDefault="006335E9" w:rsidP="00783108">
      <w:pPr>
        <w:autoSpaceDE w:val="0"/>
        <w:autoSpaceDN w:val="0"/>
        <w:adjustRightInd w:val="0"/>
        <w:spacing w:after="0" w:line="240" w:lineRule="auto"/>
        <w:rPr>
          <w:rFonts w:asciiTheme="minorHAnsi" w:hAnsiTheme="minorHAnsi" w:cs="Calibri"/>
          <w:bCs/>
        </w:rPr>
      </w:pPr>
      <w:r>
        <w:rPr>
          <w:rFonts w:asciiTheme="minorHAnsi" w:hAnsiTheme="minorHAnsi" w:cs="Calibri"/>
          <w:b/>
          <w:bCs/>
        </w:rPr>
        <w:t>Fair Labor Standards</w:t>
      </w:r>
      <w:r w:rsidR="00943E65">
        <w:rPr>
          <w:rFonts w:asciiTheme="minorHAnsi" w:hAnsiTheme="minorHAnsi" w:cs="Calibri"/>
          <w:b/>
          <w:bCs/>
        </w:rPr>
        <w:t xml:space="preserve"> Act</w:t>
      </w:r>
      <w:r>
        <w:rPr>
          <w:rFonts w:asciiTheme="minorHAnsi" w:hAnsiTheme="minorHAnsi" w:cs="Calibri"/>
          <w:b/>
          <w:bCs/>
        </w:rPr>
        <w:t xml:space="preserve"> (FLS</w:t>
      </w:r>
      <w:r w:rsidR="00943E65">
        <w:rPr>
          <w:rFonts w:asciiTheme="minorHAnsi" w:hAnsiTheme="minorHAnsi" w:cs="Calibri"/>
          <w:b/>
          <w:bCs/>
        </w:rPr>
        <w:t>A</w:t>
      </w:r>
      <w:r>
        <w:rPr>
          <w:rFonts w:asciiTheme="minorHAnsi" w:hAnsiTheme="minorHAnsi" w:cs="Calibri"/>
          <w:b/>
          <w:bCs/>
        </w:rPr>
        <w:t xml:space="preserve">) – </w:t>
      </w:r>
      <w:r w:rsidR="00DF2516" w:rsidRPr="00DF2516">
        <w:rPr>
          <w:rFonts w:asciiTheme="minorHAnsi" w:hAnsiTheme="minorHAnsi" w:cs="Calibri"/>
          <w:bCs/>
        </w:rPr>
        <w:t xml:space="preserve">FLSA establishes </w:t>
      </w:r>
      <w:r w:rsidR="00DF2516" w:rsidRPr="009D280B">
        <w:rPr>
          <w:rFonts w:asciiTheme="minorHAnsi" w:hAnsiTheme="minorHAnsi" w:cs="Calibri"/>
          <w:bCs/>
          <w:noProof/>
        </w:rPr>
        <w:t>minimum</w:t>
      </w:r>
      <w:r w:rsidR="00DF2516" w:rsidRPr="00DF2516">
        <w:rPr>
          <w:rFonts w:asciiTheme="minorHAnsi" w:hAnsiTheme="minorHAnsi" w:cs="Calibri"/>
          <w:bCs/>
        </w:rPr>
        <w:t xml:space="preserve"> wage, overtime pay, recordkeeping, and youth employment standards affecting employees in the private sector </w:t>
      </w:r>
      <w:r w:rsidR="00DF2516" w:rsidRPr="009D280B">
        <w:rPr>
          <w:rFonts w:asciiTheme="minorHAnsi" w:hAnsiTheme="minorHAnsi" w:cs="Calibri"/>
          <w:bCs/>
          <w:noProof/>
        </w:rPr>
        <w:t>and in</w:t>
      </w:r>
      <w:r w:rsidR="00DF2516" w:rsidRPr="00DF2516">
        <w:rPr>
          <w:rFonts w:asciiTheme="minorHAnsi" w:hAnsiTheme="minorHAnsi" w:cs="Calibri"/>
          <w:bCs/>
        </w:rPr>
        <w:t xml:space="preserve"> </w:t>
      </w:r>
      <w:r w:rsidR="00943E65">
        <w:rPr>
          <w:rFonts w:asciiTheme="minorHAnsi" w:hAnsiTheme="minorHAnsi" w:cs="Calibri"/>
          <w:bCs/>
        </w:rPr>
        <w:t>f</w:t>
      </w:r>
      <w:r w:rsidR="00DF2516" w:rsidRPr="00DF2516">
        <w:rPr>
          <w:rFonts w:asciiTheme="minorHAnsi" w:hAnsiTheme="minorHAnsi" w:cs="Calibri"/>
          <w:bCs/>
        </w:rPr>
        <w:t xml:space="preserve">ederal, </w:t>
      </w:r>
      <w:r w:rsidR="00943E65">
        <w:rPr>
          <w:rFonts w:asciiTheme="minorHAnsi" w:hAnsiTheme="minorHAnsi" w:cs="Calibri"/>
          <w:bCs/>
        </w:rPr>
        <w:t>s</w:t>
      </w:r>
      <w:r w:rsidR="00DF2516" w:rsidRPr="00DF2516">
        <w:rPr>
          <w:rFonts w:asciiTheme="minorHAnsi" w:hAnsiTheme="minorHAnsi" w:cs="Calibri"/>
          <w:bCs/>
        </w:rPr>
        <w:t>tate, and local governments. Covered nonexempt workers are entitled to a minimum wage of not less than $7.25 per hour effective July 24, 2009.</w:t>
      </w:r>
    </w:p>
    <w:p w14:paraId="61C7A63E" w14:textId="77777777" w:rsidR="00F119C8" w:rsidRDefault="00F119C8" w:rsidP="00783108">
      <w:pPr>
        <w:autoSpaceDE w:val="0"/>
        <w:autoSpaceDN w:val="0"/>
        <w:adjustRightInd w:val="0"/>
        <w:spacing w:after="0" w:line="240" w:lineRule="auto"/>
        <w:rPr>
          <w:rFonts w:asciiTheme="minorHAnsi" w:hAnsiTheme="minorHAnsi" w:cs="Calibri"/>
          <w:bCs/>
        </w:rPr>
      </w:pPr>
    </w:p>
    <w:p w14:paraId="43419654" w14:textId="518D0866" w:rsidR="008226A6" w:rsidRDefault="008226A6" w:rsidP="00783108">
      <w:pPr>
        <w:autoSpaceDE w:val="0"/>
        <w:autoSpaceDN w:val="0"/>
        <w:adjustRightInd w:val="0"/>
        <w:spacing w:after="0" w:line="240" w:lineRule="auto"/>
        <w:rPr>
          <w:rFonts w:asciiTheme="minorHAnsi" w:hAnsiTheme="minorHAnsi" w:cs="Calibri"/>
          <w:bCs/>
        </w:rPr>
      </w:pPr>
      <w:r>
        <w:rPr>
          <w:rFonts w:asciiTheme="minorHAnsi" w:hAnsiTheme="minorHAnsi" w:cs="Calibri"/>
          <w:b/>
          <w:bCs/>
        </w:rPr>
        <w:t xml:space="preserve">Incentives </w:t>
      </w:r>
      <w:r w:rsidRPr="0093182D">
        <w:rPr>
          <w:rFonts w:asciiTheme="minorHAnsi" w:hAnsiTheme="minorHAnsi" w:cs="Calibri"/>
          <w:bCs/>
        </w:rPr>
        <w:t xml:space="preserve">– </w:t>
      </w:r>
      <w:r w:rsidR="00092B68" w:rsidRPr="0093182D">
        <w:rPr>
          <w:rFonts w:asciiTheme="minorHAnsi" w:hAnsiTheme="minorHAnsi" w:cs="Calibri"/>
          <w:bCs/>
        </w:rPr>
        <w:t xml:space="preserve">Incentive payments are allowable to youth participants for recognition and achievement </w:t>
      </w:r>
      <w:r w:rsidR="0093182D">
        <w:rPr>
          <w:rFonts w:asciiTheme="minorHAnsi" w:hAnsiTheme="minorHAnsi" w:cs="Calibri"/>
          <w:bCs/>
        </w:rPr>
        <w:t>resulting directly from training</w:t>
      </w:r>
      <w:r w:rsidR="00092B68" w:rsidRPr="0093182D">
        <w:rPr>
          <w:rFonts w:asciiTheme="minorHAnsi" w:hAnsiTheme="minorHAnsi" w:cs="Calibri"/>
          <w:bCs/>
        </w:rPr>
        <w:t xml:space="preserve"> activities and work experience</w:t>
      </w:r>
      <w:r w:rsidRPr="008226A6">
        <w:rPr>
          <w:rFonts w:asciiTheme="minorHAnsi" w:hAnsiTheme="minorHAnsi" w:cs="Calibri"/>
          <w:bCs/>
        </w:rPr>
        <w:t xml:space="preserve"> as defined</w:t>
      </w:r>
      <w:r>
        <w:rPr>
          <w:rFonts w:asciiTheme="minorHAnsi" w:hAnsiTheme="minorHAnsi" w:cs="Calibri"/>
          <w:bCs/>
        </w:rPr>
        <w:t xml:space="preserve"> by local area policy and stated</w:t>
      </w:r>
      <w:r w:rsidRPr="008226A6">
        <w:rPr>
          <w:rFonts w:asciiTheme="minorHAnsi" w:hAnsiTheme="minorHAnsi" w:cs="Calibri"/>
          <w:bCs/>
        </w:rPr>
        <w:t xml:space="preserve"> in the individual service strategy (ISS).</w:t>
      </w:r>
      <w:r w:rsidR="00092B68">
        <w:rPr>
          <w:rFonts w:asciiTheme="minorHAnsi" w:hAnsiTheme="minorHAnsi" w:cs="Calibri"/>
          <w:bCs/>
        </w:rPr>
        <w:t xml:space="preserve"> </w:t>
      </w:r>
      <w:r w:rsidR="0093182D">
        <w:rPr>
          <w:rFonts w:asciiTheme="minorHAnsi" w:hAnsiTheme="minorHAnsi" w:cs="Calibri"/>
          <w:bCs/>
        </w:rPr>
        <w:t>Example:</w:t>
      </w:r>
      <w:r w:rsidR="00092B68" w:rsidRPr="0064066F">
        <w:rPr>
          <w:rFonts w:asciiTheme="minorHAnsi" w:hAnsiTheme="minorHAnsi" w:cs="Calibri"/>
          <w:bCs/>
        </w:rPr>
        <w:t xml:space="preserve"> a successful completion of a work experience.</w:t>
      </w:r>
    </w:p>
    <w:p w14:paraId="4630ED61" w14:textId="77777777" w:rsidR="008226A6" w:rsidRDefault="008226A6" w:rsidP="00783108">
      <w:pPr>
        <w:autoSpaceDE w:val="0"/>
        <w:autoSpaceDN w:val="0"/>
        <w:adjustRightInd w:val="0"/>
        <w:spacing w:after="0" w:line="240" w:lineRule="auto"/>
        <w:rPr>
          <w:rFonts w:asciiTheme="minorHAnsi" w:hAnsiTheme="minorHAnsi" w:cs="Calibri"/>
          <w:b/>
          <w:bCs/>
        </w:rPr>
      </w:pPr>
    </w:p>
    <w:p w14:paraId="5E0F8C69" w14:textId="5E0BE4D2" w:rsidR="00F119C8" w:rsidRDefault="00F119C8" w:rsidP="00783108">
      <w:pPr>
        <w:autoSpaceDE w:val="0"/>
        <w:autoSpaceDN w:val="0"/>
        <w:adjustRightInd w:val="0"/>
        <w:spacing w:after="0" w:line="240" w:lineRule="auto"/>
        <w:rPr>
          <w:rFonts w:asciiTheme="minorHAnsi" w:hAnsiTheme="minorHAnsi" w:cs="Calibri"/>
          <w:bCs/>
        </w:rPr>
      </w:pPr>
      <w:r w:rsidRPr="00F119C8">
        <w:rPr>
          <w:rFonts w:asciiTheme="minorHAnsi" w:hAnsiTheme="minorHAnsi" w:cs="Calibri"/>
          <w:b/>
          <w:bCs/>
        </w:rPr>
        <w:t>Stipend –</w:t>
      </w:r>
      <w:r w:rsidR="00092B68">
        <w:rPr>
          <w:rFonts w:asciiTheme="minorHAnsi" w:hAnsiTheme="minorHAnsi" w:cs="Calibri"/>
          <w:bCs/>
        </w:rPr>
        <w:t xml:space="preserve"> </w:t>
      </w:r>
      <w:r w:rsidR="00092B68" w:rsidRPr="00092B68">
        <w:rPr>
          <w:rFonts w:asciiTheme="minorHAnsi" w:hAnsiTheme="minorHAnsi" w:cs="Calibri"/>
          <w:bCs/>
        </w:rPr>
        <w:t xml:space="preserve">A stipend is an allowable payment for participation in activities such as work experience or classroom activities, including work readiness or employability skills training. </w:t>
      </w:r>
    </w:p>
    <w:p w14:paraId="4279E592" w14:textId="7F079C9C" w:rsidR="008813F5" w:rsidRDefault="008813F5" w:rsidP="00783108">
      <w:pPr>
        <w:autoSpaceDE w:val="0"/>
        <w:autoSpaceDN w:val="0"/>
        <w:adjustRightInd w:val="0"/>
        <w:spacing w:after="0" w:line="240" w:lineRule="auto"/>
        <w:rPr>
          <w:rFonts w:asciiTheme="minorHAnsi" w:hAnsiTheme="minorHAnsi" w:cs="Calibri"/>
          <w:bCs/>
        </w:rPr>
      </w:pPr>
    </w:p>
    <w:p w14:paraId="62100B86" w14:textId="793280C6" w:rsidR="008813F5" w:rsidRPr="00DF2516" w:rsidRDefault="008813F5" w:rsidP="00783108">
      <w:pPr>
        <w:autoSpaceDE w:val="0"/>
        <w:autoSpaceDN w:val="0"/>
        <w:adjustRightInd w:val="0"/>
        <w:spacing w:after="0" w:line="240" w:lineRule="auto"/>
        <w:rPr>
          <w:rFonts w:asciiTheme="minorHAnsi" w:hAnsiTheme="minorHAnsi" w:cs="Calibri"/>
          <w:bCs/>
        </w:rPr>
      </w:pPr>
      <w:r w:rsidRPr="00315C90">
        <w:rPr>
          <w:rFonts w:asciiTheme="minorHAnsi" w:hAnsiTheme="minorHAnsi" w:cs="Calibri"/>
          <w:b/>
          <w:bCs/>
        </w:rPr>
        <w:t xml:space="preserve">Wage </w:t>
      </w:r>
      <w:r>
        <w:rPr>
          <w:rFonts w:asciiTheme="minorHAnsi" w:hAnsiTheme="minorHAnsi" w:cs="Calibri"/>
          <w:bCs/>
        </w:rPr>
        <w:t xml:space="preserve">- </w:t>
      </w:r>
      <w:r w:rsidRPr="008813F5">
        <w:rPr>
          <w:rFonts w:asciiTheme="minorHAnsi" w:hAnsiTheme="minorHAnsi" w:cs="Calibri"/>
          <w:bCs/>
        </w:rPr>
        <w:t>A wage is generally a payment for services rendered where an employer/employee relationship exists. This form of compensation is usually paid through a payroll system and subject to the taxes applicable to the employer of record and participants.</w:t>
      </w:r>
    </w:p>
    <w:p w14:paraId="158A80BF" w14:textId="77777777" w:rsidR="006335E9" w:rsidRDefault="006335E9" w:rsidP="00783108">
      <w:pPr>
        <w:autoSpaceDE w:val="0"/>
        <w:autoSpaceDN w:val="0"/>
        <w:adjustRightInd w:val="0"/>
        <w:spacing w:after="0" w:line="240" w:lineRule="auto"/>
        <w:rPr>
          <w:rFonts w:asciiTheme="minorHAnsi" w:hAnsiTheme="minorHAnsi" w:cs="Calibri"/>
          <w:b/>
          <w:bCs/>
        </w:rPr>
      </w:pPr>
    </w:p>
    <w:p w14:paraId="7D79E8BD" w14:textId="268D35A5" w:rsidR="000658F0" w:rsidRDefault="00F04B91" w:rsidP="00783108">
      <w:pPr>
        <w:autoSpaceDE w:val="0"/>
        <w:autoSpaceDN w:val="0"/>
        <w:adjustRightInd w:val="0"/>
        <w:spacing w:after="0" w:line="240" w:lineRule="auto"/>
        <w:rPr>
          <w:rFonts w:asciiTheme="minorHAnsi" w:hAnsiTheme="minorHAnsi" w:cs="Calibri"/>
        </w:rPr>
      </w:pPr>
      <w:r w:rsidRPr="00931244">
        <w:rPr>
          <w:rFonts w:asciiTheme="minorHAnsi" w:hAnsiTheme="minorHAnsi" w:cs="Calibri"/>
          <w:b/>
          <w:bCs/>
        </w:rPr>
        <w:t>Work Experience (WEX)</w:t>
      </w:r>
      <w:r w:rsidR="00AF66B4">
        <w:rPr>
          <w:rFonts w:asciiTheme="minorHAnsi" w:hAnsiTheme="minorHAnsi" w:cs="Calibri"/>
          <w:b/>
          <w:bCs/>
        </w:rPr>
        <w:t>/Internships</w:t>
      </w:r>
      <w:r w:rsidR="006335E9">
        <w:rPr>
          <w:rFonts w:asciiTheme="minorHAnsi" w:hAnsiTheme="minorHAnsi" w:cs="Calibri"/>
          <w:b/>
          <w:bCs/>
        </w:rPr>
        <w:t xml:space="preserve"> –</w:t>
      </w:r>
      <w:r w:rsidR="00092B68">
        <w:rPr>
          <w:rFonts w:asciiTheme="minorHAnsi" w:hAnsiTheme="minorHAnsi" w:cs="Calibri"/>
        </w:rPr>
        <w:t xml:space="preserve"> A</w:t>
      </w:r>
      <w:r w:rsidR="00D208AD">
        <w:rPr>
          <w:rFonts w:asciiTheme="minorHAnsi" w:hAnsiTheme="minorHAnsi" w:cs="Calibri"/>
        </w:rPr>
        <w:t xml:space="preserve"> (paid or unpaid)</w:t>
      </w:r>
      <w:r w:rsidR="00231E06" w:rsidRPr="00231E06">
        <w:rPr>
          <w:rFonts w:asciiTheme="minorHAnsi" w:hAnsiTheme="minorHAnsi" w:cs="Calibri"/>
        </w:rPr>
        <w:t xml:space="preserve"> planned, structured learning experience that takes place in a workplace for a limited </w:t>
      </w:r>
      <w:r w:rsidR="00231E06" w:rsidRPr="009D280B">
        <w:rPr>
          <w:rFonts w:asciiTheme="minorHAnsi" w:hAnsiTheme="minorHAnsi" w:cs="Calibri"/>
          <w:noProof/>
        </w:rPr>
        <w:t>period of time</w:t>
      </w:r>
      <w:r w:rsidR="00231E06" w:rsidRPr="00231E06">
        <w:rPr>
          <w:rFonts w:asciiTheme="minorHAnsi" w:hAnsiTheme="minorHAnsi" w:cs="Calibri"/>
        </w:rPr>
        <w:t xml:space="preserve">. Internships or work experience may be paid or unpaid </w:t>
      </w:r>
      <w:r w:rsidR="00C84E13">
        <w:rPr>
          <w:rFonts w:asciiTheme="minorHAnsi" w:hAnsiTheme="minorHAnsi" w:cs="Calibri"/>
        </w:rPr>
        <w:t xml:space="preserve">to a participant </w:t>
      </w:r>
      <w:r w:rsidR="00231E06" w:rsidRPr="00231E06">
        <w:rPr>
          <w:rFonts w:asciiTheme="minorHAnsi" w:hAnsiTheme="minorHAnsi" w:cs="Calibri"/>
        </w:rPr>
        <w:t xml:space="preserve">and may </w:t>
      </w:r>
      <w:r w:rsidR="00231E06" w:rsidRPr="009D280B">
        <w:rPr>
          <w:rFonts w:asciiTheme="minorHAnsi" w:hAnsiTheme="minorHAnsi" w:cs="Calibri"/>
          <w:noProof/>
        </w:rPr>
        <w:t>be provided</w:t>
      </w:r>
      <w:r w:rsidR="00231E06" w:rsidRPr="00231E06">
        <w:rPr>
          <w:rFonts w:asciiTheme="minorHAnsi" w:hAnsiTheme="minorHAnsi" w:cs="Calibri"/>
        </w:rPr>
        <w:t xml:space="preserve"> </w:t>
      </w:r>
      <w:r w:rsidR="00231E06" w:rsidRPr="009D280B">
        <w:rPr>
          <w:rFonts w:asciiTheme="minorHAnsi" w:hAnsiTheme="minorHAnsi" w:cs="Calibri"/>
          <w:noProof/>
        </w:rPr>
        <w:t>in the private</w:t>
      </w:r>
      <w:r w:rsidR="00231E06" w:rsidRPr="00231E06">
        <w:rPr>
          <w:rFonts w:asciiTheme="minorHAnsi" w:hAnsiTheme="minorHAnsi" w:cs="Calibri"/>
        </w:rPr>
        <w:t xml:space="preserve"> </w:t>
      </w:r>
      <w:r w:rsidR="00231E06" w:rsidRPr="009D280B">
        <w:rPr>
          <w:rFonts w:asciiTheme="minorHAnsi" w:hAnsiTheme="minorHAnsi" w:cs="Calibri"/>
          <w:noProof/>
        </w:rPr>
        <w:t>for</w:t>
      </w:r>
      <w:r w:rsidR="009D280B">
        <w:rPr>
          <w:rFonts w:asciiTheme="minorHAnsi" w:hAnsiTheme="minorHAnsi" w:cs="Calibri"/>
          <w:noProof/>
        </w:rPr>
        <w:t>-</w:t>
      </w:r>
      <w:r w:rsidR="00231E06" w:rsidRPr="009D280B">
        <w:rPr>
          <w:rFonts w:asciiTheme="minorHAnsi" w:hAnsiTheme="minorHAnsi" w:cs="Calibri"/>
          <w:noProof/>
        </w:rPr>
        <w:t>profit</w:t>
      </w:r>
      <w:r w:rsidR="00231E06" w:rsidRPr="00231E06">
        <w:rPr>
          <w:rFonts w:asciiTheme="minorHAnsi" w:hAnsiTheme="minorHAnsi" w:cs="Calibri"/>
        </w:rPr>
        <w:t xml:space="preserve"> sector, the n</w:t>
      </w:r>
      <w:r w:rsidR="004C2146">
        <w:rPr>
          <w:rFonts w:asciiTheme="minorHAnsi" w:hAnsiTheme="minorHAnsi" w:cs="Calibri"/>
        </w:rPr>
        <w:t>on-profit, or the public sector.</w:t>
      </w:r>
    </w:p>
    <w:p w14:paraId="48E29432" w14:textId="77777777" w:rsidR="00FA1868" w:rsidRDefault="00FA1868" w:rsidP="00783108">
      <w:pPr>
        <w:autoSpaceDE w:val="0"/>
        <w:autoSpaceDN w:val="0"/>
        <w:adjustRightInd w:val="0"/>
        <w:spacing w:after="0" w:line="240" w:lineRule="auto"/>
        <w:rPr>
          <w:rFonts w:asciiTheme="minorHAnsi" w:hAnsiTheme="minorHAnsi" w:cs="Calibri"/>
        </w:rPr>
      </w:pPr>
    </w:p>
    <w:p w14:paraId="375C0D9E" w14:textId="124FB11E" w:rsidR="004875E8" w:rsidRPr="004875E8" w:rsidRDefault="00FA1868" w:rsidP="004875E8">
      <w:pPr>
        <w:autoSpaceDE w:val="0"/>
        <w:autoSpaceDN w:val="0"/>
        <w:adjustRightInd w:val="0"/>
        <w:spacing w:after="0" w:line="240" w:lineRule="auto"/>
        <w:rPr>
          <w:rFonts w:asciiTheme="minorHAnsi" w:hAnsiTheme="minorHAnsi" w:cs="Calibri"/>
        </w:rPr>
      </w:pPr>
      <w:r w:rsidRPr="00FA1868">
        <w:rPr>
          <w:rFonts w:asciiTheme="minorHAnsi" w:hAnsiTheme="minorHAnsi" w:cs="Calibri"/>
          <w:b/>
        </w:rPr>
        <w:t>Worksite Agreement</w:t>
      </w:r>
      <w:r w:rsidR="00ED163F">
        <w:rPr>
          <w:rFonts w:asciiTheme="minorHAnsi" w:hAnsiTheme="minorHAnsi" w:cs="Calibri"/>
          <w:b/>
        </w:rPr>
        <w:t xml:space="preserve"> Contract</w:t>
      </w:r>
      <w:r w:rsidRPr="00FA1868">
        <w:rPr>
          <w:rFonts w:asciiTheme="minorHAnsi" w:hAnsiTheme="minorHAnsi" w:cs="Calibri"/>
          <w:b/>
        </w:rPr>
        <w:t xml:space="preserve"> –</w:t>
      </w:r>
      <w:r w:rsidR="004875E8">
        <w:rPr>
          <w:rFonts w:asciiTheme="minorHAnsi" w:hAnsiTheme="minorHAnsi" w:cs="Calibri"/>
          <w:b/>
        </w:rPr>
        <w:t xml:space="preserve"> </w:t>
      </w:r>
      <w:r w:rsidR="00092B68">
        <w:rPr>
          <w:rFonts w:asciiTheme="minorHAnsi" w:hAnsiTheme="minorHAnsi" w:cs="Calibri"/>
        </w:rPr>
        <w:t>A</w:t>
      </w:r>
      <w:r w:rsidR="004875E8" w:rsidRPr="004875E8">
        <w:rPr>
          <w:rFonts w:asciiTheme="minorHAnsi" w:hAnsiTheme="minorHAnsi" w:cs="Calibri"/>
        </w:rPr>
        <w:t xml:space="preserve"> written document that details terms and conditions of paid and unpaid work experience and the expectations of the parties to the agreement. The written agreement is </w:t>
      </w:r>
      <w:r w:rsidR="004875E8" w:rsidRPr="009D280B">
        <w:rPr>
          <w:rFonts w:asciiTheme="minorHAnsi" w:hAnsiTheme="minorHAnsi" w:cs="Calibri"/>
          <w:noProof/>
        </w:rPr>
        <w:t xml:space="preserve">between </w:t>
      </w:r>
      <w:r w:rsidR="004875E8" w:rsidRPr="004875E8">
        <w:rPr>
          <w:rFonts w:asciiTheme="minorHAnsi" w:hAnsiTheme="minorHAnsi" w:cs="Calibri"/>
        </w:rPr>
        <w:t>the participant, the site employer or host site, and the youth provider.</w:t>
      </w:r>
    </w:p>
    <w:p w14:paraId="61833CDD" w14:textId="77777777" w:rsidR="00DE22DF" w:rsidRPr="00DA49C7" w:rsidRDefault="00DE22DF" w:rsidP="00783108">
      <w:pPr>
        <w:tabs>
          <w:tab w:val="left" w:pos="2808"/>
        </w:tabs>
        <w:spacing w:after="0" w:line="240" w:lineRule="auto"/>
        <w:rPr>
          <w:rFonts w:asciiTheme="minorHAnsi" w:hAnsiTheme="minorHAnsi" w:cs="Calibri"/>
        </w:rPr>
      </w:pPr>
    </w:p>
    <w:p w14:paraId="02C2DBA8" w14:textId="77777777" w:rsidR="00FD7A8D" w:rsidRDefault="00FD7A8D" w:rsidP="00783108">
      <w:pPr>
        <w:tabs>
          <w:tab w:val="left" w:pos="2808"/>
        </w:tabs>
        <w:spacing w:after="0" w:line="240" w:lineRule="auto"/>
        <w:rPr>
          <w:rFonts w:asciiTheme="minorHAnsi" w:hAnsiTheme="minorHAnsi"/>
          <w:b/>
        </w:rPr>
      </w:pPr>
    </w:p>
    <w:p w14:paraId="087168B1" w14:textId="77777777" w:rsidR="003C1F4A" w:rsidRPr="00DA49C7" w:rsidRDefault="003C1F4A" w:rsidP="00783108">
      <w:pPr>
        <w:tabs>
          <w:tab w:val="left" w:pos="2808"/>
        </w:tabs>
        <w:spacing w:after="0" w:line="240" w:lineRule="auto"/>
        <w:rPr>
          <w:rFonts w:asciiTheme="minorHAnsi" w:hAnsiTheme="minorHAnsi"/>
          <w:b/>
          <w:i/>
        </w:rPr>
      </w:pPr>
      <w:r w:rsidRPr="00DA49C7">
        <w:rPr>
          <w:rFonts w:asciiTheme="minorHAnsi" w:hAnsiTheme="minorHAnsi"/>
          <w:b/>
        </w:rPr>
        <w:t>BACKGROUND:</w:t>
      </w:r>
    </w:p>
    <w:p w14:paraId="01CA0BAC" w14:textId="77777777" w:rsidR="00402581" w:rsidRDefault="00402581" w:rsidP="00783108">
      <w:pPr>
        <w:spacing w:after="0" w:line="240" w:lineRule="auto"/>
        <w:rPr>
          <w:rFonts w:asciiTheme="minorHAnsi" w:hAnsiTheme="minorHAnsi"/>
        </w:rPr>
      </w:pPr>
    </w:p>
    <w:p w14:paraId="3F2E86E3" w14:textId="77777777" w:rsidR="00E23781" w:rsidRDefault="00402581" w:rsidP="00783108">
      <w:pPr>
        <w:spacing w:after="0" w:line="240" w:lineRule="auto"/>
        <w:rPr>
          <w:rFonts w:asciiTheme="minorHAnsi" w:hAnsiTheme="minorHAnsi"/>
        </w:rPr>
      </w:pPr>
      <w:r w:rsidRPr="00656F89">
        <w:rPr>
          <w:rFonts w:asciiTheme="minorHAnsi" w:hAnsiTheme="minorHAnsi"/>
        </w:rPr>
        <w:t xml:space="preserve">WIOA </w:t>
      </w:r>
      <w:r w:rsidRPr="009D280B">
        <w:rPr>
          <w:rFonts w:asciiTheme="minorHAnsi" w:hAnsiTheme="minorHAnsi"/>
          <w:noProof/>
        </w:rPr>
        <w:t>places emphasis on</w:t>
      </w:r>
      <w:r w:rsidRPr="00656F89">
        <w:rPr>
          <w:rFonts w:asciiTheme="minorHAnsi" w:hAnsiTheme="minorHAnsi"/>
        </w:rPr>
        <w:t xml:space="preserve"> serving youth within a comprehensive youth development approach that focuses on long-term services that provide the education, skills, work experience, and support that youth need </w:t>
      </w:r>
      <w:r w:rsidRPr="009D280B">
        <w:rPr>
          <w:rFonts w:asciiTheme="minorHAnsi" w:hAnsiTheme="minorHAnsi"/>
          <w:noProof/>
        </w:rPr>
        <w:t xml:space="preserve">to </w:t>
      </w:r>
      <w:r w:rsidR="009D280B" w:rsidRPr="009D280B">
        <w:rPr>
          <w:rFonts w:asciiTheme="minorHAnsi" w:hAnsiTheme="minorHAnsi"/>
          <w:noProof/>
        </w:rPr>
        <w:t>t</w:t>
      </w:r>
      <w:r w:rsidR="009D280B" w:rsidRPr="00E77EC8">
        <w:rPr>
          <w:rFonts w:asciiTheme="minorHAnsi" w:hAnsiTheme="minorHAnsi"/>
          <w:noProof/>
        </w:rPr>
        <w:t>r</w:t>
      </w:r>
      <w:r w:rsidR="009D280B" w:rsidRPr="009D280B">
        <w:rPr>
          <w:rFonts w:asciiTheme="minorHAnsi" w:hAnsiTheme="minorHAnsi"/>
          <w:noProof/>
        </w:rPr>
        <w:t>ansition</w:t>
      </w:r>
      <w:r w:rsidR="009D280B">
        <w:rPr>
          <w:rFonts w:asciiTheme="minorHAnsi" w:hAnsiTheme="minorHAnsi"/>
          <w:noProof/>
        </w:rPr>
        <w:t xml:space="preserve"> successfully</w:t>
      </w:r>
      <w:r w:rsidRPr="009D280B">
        <w:rPr>
          <w:rFonts w:asciiTheme="minorHAnsi" w:hAnsiTheme="minorHAnsi"/>
          <w:noProof/>
        </w:rPr>
        <w:t xml:space="preserve"> to careers and productive adulthood</w:t>
      </w:r>
      <w:r w:rsidR="00166A0B">
        <w:rPr>
          <w:rFonts w:asciiTheme="minorHAnsi" w:hAnsiTheme="minorHAnsi"/>
        </w:rPr>
        <w:t>.</w:t>
      </w:r>
      <w:r w:rsidR="00EA4D68" w:rsidRPr="00EA4D68">
        <w:t xml:space="preserve"> </w:t>
      </w:r>
      <w:r w:rsidR="00166A0B">
        <w:t xml:space="preserve">WIOA includes a major focus on providing youth with work experience opportunities. WIOA prioritizes work experiences with the requirement that local areas must spend a minimum of 20 percent of local area funds on WIOA youth work experiences. </w:t>
      </w:r>
      <w:r w:rsidR="00A606A4">
        <w:rPr>
          <w:rFonts w:asciiTheme="minorHAnsi" w:hAnsiTheme="minorHAnsi"/>
        </w:rPr>
        <w:t xml:space="preserve"> </w:t>
      </w:r>
    </w:p>
    <w:p w14:paraId="4DDE8F25" w14:textId="77777777" w:rsidR="00FD7A8D" w:rsidRDefault="00FD7A8D" w:rsidP="00783108">
      <w:pPr>
        <w:spacing w:after="0" w:line="240" w:lineRule="auto"/>
        <w:rPr>
          <w:rFonts w:asciiTheme="minorHAnsi" w:hAnsiTheme="minorHAnsi"/>
          <w:b/>
        </w:rPr>
      </w:pPr>
    </w:p>
    <w:p w14:paraId="6E266E62" w14:textId="77777777" w:rsidR="002D3E7A" w:rsidRDefault="002D3E7A" w:rsidP="00783108">
      <w:pPr>
        <w:spacing w:after="0" w:line="240" w:lineRule="auto"/>
        <w:rPr>
          <w:rFonts w:asciiTheme="minorHAnsi" w:hAnsiTheme="minorHAnsi"/>
          <w:b/>
        </w:rPr>
      </w:pPr>
      <w:r w:rsidRPr="00DA49C7">
        <w:rPr>
          <w:rFonts w:asciiTheme="minorHAnsi" w:hAnsiTheme="minorHAnsi"/>
          <w:b/>
        </w:rPr>
        <w:lastRenderedPageBreak/>
        <w:t>GUIDANCE:</w:t>
      </w:r>
    </w:p>
    <w:p w14:paraId="53658DAD" w14:textId="77777777" w:rsidR="0093021B" w:rsidRDefault="0093021B" w:rsidP="00783108">
      <w:pPr>
        <w:spacing w:after="0" w:line="240" w:lineRule="auto"/>
        <w:rPr>
          <w:rFonts w:asciiTheme="minorHAnsi" w:hAnsiTheme="minorHAnsi" w:cs="Calibri"/>
        </w:rPr>
      </w:pPr>
    </w:p>
    <w:p w14:paraId="79F90B39" w14:textId="77777777" w:rsidR="00F259AF" w:rsidRPr="00931244" w:rsidRDefault="0093021B" w:rsidP="00783108">
      <w:pPr>
        <w:spacing w:after="0" w:line="240" w:lineRule="auto"/>
        <w:rPr>
          <w:rFonts w:asciiTheme="minorHAnsi" w:eastAsiaTheme="minorHAnsi" w:hAnsiTheme="minorHAnsi" w:cstheme="minorBidi"/>
        </w:rPr>
      </w:pPr>
      <w:r w:rsidRPr="00231E06">
        <w:rPr>
          <w:rFonts w:asciiTheme="minorHAnsi" w:hAnsiTheme="minorHAnsi" w:cs="Calibri"/>
        </w:rPr>
        <w:t xml:space="preserve">WIOA youth program funds spent on paid and unpaid work experiences, including wages and staff costs, must be </w:t>
      </w:r>
      <w:proofErr w:type="gramStart"/>
      <w:r w:rsidRPr="00231E06">
        <w:rPr>
          <w:rFonts w:asciiTheme="minorHAnsi" w:hAnsiTheme="minorHAnsi" w:cs="Calibri"/>
        </w:rPr>
        <w:t>tracked</w:t>
      </w:r>
      <w:proofErr w:type="gramEnd"/>
      <w:r w:rsidRPr="00231E06">
        <w:rPr>
          <w:rFonts w:asciiTheme="minorHAnsi" w:hAnsiTheme="minorHAnsi" w:cs="Calibri"/>
        </w:rPr>
        <w:t xml:space="preserve"> and reported as part of the local WIOA youth financial reporting. </w:t>
      </w:r>
    </w:p>
    <w:p w14:paraId="623080B1" w14:textId="77777777" w:rsidR="0093021B" w:rsidRDefault="0093021B" w:rsidP="00783108">
      <w:pPr>
        <w:pStyle w:val="ListParagraph"/>
        <w:spacing w:after="0" w:line="240" w:lineRule="auto"/>
        <w:ind w:left="1440"/>
        <w:rPr>
          <w:rFonts w:asciiTheme="minorHAnsi" w:eastAsiaTheme="minorHAnsi" w:hAnsiTheme="minorHAnsi" w:cstheme="minorBidi"/>
        </w:rPr>
      </w:pPr>
    </w:p>
    <w:p w14:paraId="79C5F138" w14:textId="77777777" w:rsidR="00B833EC" w:rsidRPr="00B833EC" w:rsidRDefault="00F04B91" w:rsidP="0099549C">
      <w:pPr>
        <w:pStyle w:val="ListParagraph"/>
        <w:numPr>
          <w:ilvl w:val="0"/>
          <w:numId w:val="1"/>
        </w:numPr>
        <w:spacing w:after="0" w:line="240" w:lineRule="auto"/>
        <w:rPr>
          <w:rFonts w:asciiTheme="minorHAnsi" w:hAnsiTheme="minorHAnsi" w:cs="Calibri"/>
          <w:b/>
        </w:rPr>
      </w:pPr>
      <w:r w:rsidRPr="00B833EC">
        <w:rPr>
          <w:rFonts w:asciiTheme="minorHAnsi" w:eastAsiaTheme="minorHAnsi" w:hAnsiTheme="minorHAnsi" w:cstheme="minorBidi"/>
          <w:b/>
        </w:rPr>
        <w:t xml:space="preserve">Work experiences must include </w:t>
      </w:r>
      <w:r w:rsidR="003A161A">
        <w:rPr>
          <w:rFonts w:asciiTheme="minorHAnsi" w:eastAsiaTheme="minorHAnsi" w:hAnsiTheme="minorHAnsi" w:cstheme="minorBidi"/>
          <w:b/>
        </w:rPr>
        <w:t xml:space="preserve">an educational component </w:t>
      </w:r>
    </w:p>
    <w:p w14:paraId="39C3F944" w14:textId="77777777" w:rsidR="00B833EC" w:rsidRPr="00B833EC" w:rsidRDefault="00B833EC" w:rsidP="00783108">
      <w:pPr>
        <w:pStyle w:val="ListParagraph"/>
        <w:spacing w:after="0" w:line="240" w:lineRule="auto"/>
        <w:rPr>
          <w:rFonts w:asciiTheme="minorHAnsi" w:eastAsiaTheme="minorHAnsi" w:hAnsiTheme="minorHAnsi" w:cstheme="minorBidi"/>
        </w:rPr>
      </w:pPr>
      <w:r w:rsidRPr="00B833EC">
        <w:rPr>
          <w:rFonts w:asciiTheme="minorHAnsi" w:hAnsiTheme="minorHAnsi" w:cs="Calibri"/>
        </w:rPr>
        <w:t>WIOA allows for the provision of work experiences (WEX) for eligible youth that includes an academic and occupational education component</w:t>
      </w:r>
      <w:r w:rsidR="004C2146">
        <w:rPr>
          <w:rFonts w:asciiTheme="minorHAnsi" w:hAnsiTheme="minorHAnsi" w:cs="Calibri"/>
        </w:rPr>
        <w:t xml:space="preserve"> found in</w:t>
      </w:r>
      <w:r w:rsidR="004C2146" w:rsidRPr="004C2146">
        <w:t xml:space="preserve"> </w:t>
      </w:r>
      <w:r w:rsidR="004C2146" w:rsidRPr="004C2146">
        <w:rPr>
          <w:rFonts w:asciiTheme="minorHAnsi" w:hAnsiTheme="minorHAnsi" w:cs="Calibri"/>
          <w:i/>
        </w:rPr>
        <w:t>WIOA Section 129 (c)(2)(E</w:t>
      </w:r>
      <w:r w:rsidR="004C2146">
        <w:rPr>
          <w:rFonts w:asciiTheme="minorHAnsi" w:hAnsiTheme="minorHAnsi" w:cs="Calibri"/>
          <w:i/>
        </w:rPr>
        <w:t>) and Title 20 CFR NPRM 681.640</w:t>
      </w:r>
      <w:r w:rsidR="004C2146" w:rsidRPr="004C2146">
        <w:rPr>
          <w:rFonts w:asciiTheme="minorHAnsi" w:hAnsiTheme="minorHAnsi" w:cs="Calibri"/>
        </w:rPr>
        <w:t>.</w:t>
      </w:r>
      <w:r w:rsidRPr="00B833EC">
        <w:rPr>
          <w:rFonts w:asciiTheme="minorHAnsi" w:hAnsiTheme="minorHAnsi" w:cs="Calibri"/>
        </w:rPr>
        <w:t xml:space="preserve"> </w:t>
      </w:r>
    </w:p>
    <w:p w14:paraId="2E3E6C5D" w14:textId="77777777" w:rsidR="00B833EC" w:rsidRPr="00B833EC" w:rsidRDefault="00B833EC" w:rsidP="00783108">
      <w:pPr>
        <w:spacing w:after="0" w:line="240" w:lineRule="auto"/>
        <w:ind w:left="720"/>
        <w:rPr>
          <w:rFonts w:asciiTheme="minorHAnsi" w:hAnsiTheme="minorHAnsi" w:cs="Calibri"/>
          <w:b/>
        </w:rPr>
      </w:pPr>
    </w:p>
    <w:p w14:paraId="2BCFEA47" w14:textId="77777777" w:rsidR="00CB2A04" w:rsidRPr="00CB2A04" w:rsidRDefault="00BE6BA3" w:rsidP="0099549C">
      <w:pPr>
        <w:pStyle w:val="ListParagraph"/>
        <w:numPr>
          <w:ilvl w:val="1"/>
          <w:numId w:val="1"/>
        </w:numPr>
        <w:spacing w:after="0" w:line="240" w:lineRule="auto"/>
        <w:rPr>
          <w:rFonts w:asciiTheme="minorHAnsi" w:hAnsiTheme="minorHAnsi" w:cs="Calibri"/>
        </w:rPr>
      </w:pPr>
      <w:r>
        <w:rPr>
          <w:rFonts w:asciiTheme="minorHAnsi" w:eastAsiaTheme="minorHAnsi" w:hAnsiTheme="minorHAnsi" w:cstheme="minorBidi"/>
        </w:rPr>
        <w:t>Each local area must</w:t>
      </w:r>
      <w:r w:rsidR="003663C9">
        <w:rPr>
          <w:rFonts w:asciiTheme="minorHAnsi" w:eastAsiaTheme="minorHAnsi" w:hAnsiTheme="minorHAnsi" w:cstheme="minorBidi"/>
        </w:rPr>
        <w:t xml:space="preserve"> include</w:t>
      </w:r>
      <w:r>
        <w:rPr>
          <w:rFonts w:asciiTheme="minorHAnsi" w:eastAsiaTheme="minorHAnsi" w:hAnsiTheme="minorHAnsi" w:cstheme="minorBidi"/>
        </w:rPr>
        <w:t xml:space="preserve"> a</w:t>
      </w:r>
      <w:r w:rsidR="00B833EC">
        <w:rPr>
          <w:rFonts w:asciiTheme="minorHAnsi" w:eastAsiaTheme="minorHAnsi" w:hAnsiTheme="minorHAnsi" w:cstheme="minorBidi"/>
        </w:rPr>
        <w:t xml:space="preserve">n </w:t>
      </w:r>
      <w:r w:rsidR="00F04B91" w:rsidRPr="00CB2A04">
        <w:rPr>
          <w:rFonts w:asciiTheme="minorHAnsi" w:eastAsiaTheme="minorHAnsi" w:hAnsiTheme="minorHAnsi" w:cstheme="minorBidi"/>
        </w:rPr>
        <w:t>acade</w:t>
      </w:r>
      <w:r>
        <w:rPr>
          <w:rFonts w:asciiTheme="minorHAnsi" w:eastAsiaTheme="minorHAnsi" w:hAnsiTheme="minorHAnsi" w:cstheme="minorBidi"/>
        </w:rPr>
        <w:t>mic and occupational education</w:t>
      </w:r>
      <w:r w:rsidR="00CB2A04" w:rsidRPr="00CB2A04">
        <w:rPr>
          <w:rFonts w:asciiTheme="minorHAnsi" w:hAnsiTheme="minorHAnsi" w:cs="Calibri"/>
        </w:rPr>
        <w:t xml:space="preserve"> </w:t>
      </w:r>
      <w:r w:rsidR="003663C9">
        <w:rPr>
          <w:rFonts w:asciiTheme="minorHAnsi" w:hAnsiTheme="minorHAnsi" w:cs="Calibri"/>
        </w:rPr>
        <w:t xml:space="preserve">component </w:t>
      </w:r>
      <w:r w:rsidR="00CB2A04" w:rsidRPr="00CB2A04">
        <w:rPr>
          <w:rFonts w:asciiTheme="minorHAnsi" w:hAnsiTheme="minorHAnsi" w:cs="Calibri"/>
        </w:rPr>
        <w:t>(e.g., workforce preparation activities, basic academic skills, and hands-on occupational skills training)</w:t>
      </w:r>
      <w:r w:rsidR="0047711C">
        <w:rPr>
          <w:rFonts w:asciiTheme="minorHAnsi" w:hAnsiTheme="minorHAnsi" w:cs="Calibri"/>
        </w:rPr>
        <w:t xml:space="preserve"> with the work experience</w:t>
      </w:r>
      <w:r w:rsidR="00410162">
        <w:rPr>
          <w:rFonts w:asciiTheme="minorHAnsi" w:hAnsiTheme="minorHAnsi" w:cs="Calibri"/>
        </w:rPr>
        <w:t>.</w:t>
      </w:r>
    </w:p>
    <w:p w14:paraId="625B6C00" w14:textId="77777777" w:rsidR="00CB2A04" w:rsidRDefault="00CB2A04" w:rsidP="00783108">
      <w:pPr>
        <w:pStyle w:val="ListParagraph"/>
        <w:spacing w:after="0" w:line="240" w:lineRule="auto"/>
        <w:rPr>
          <w:rFonts w:asciiTheme="minorHAnsi" w:hAnsiTheme="minorHAnsi" w:cs="Calibri"/>
        </w:rPr>
      </w:pPr>
    </w:p>
    <w:p w14:paraId="684B1D68" w14:textId="20A170E1" w:rsidR="004C2146" w:rsidRPr="004C2146" w:rsidRDefault="003663C9" w:rsidP="0099549C">
      <w:pPr>
        <w:pStyle w:val="ListParagraph"/>
        <w:numPr>
          <w:ilvl w:val="1"/>
          <w:numId w:val="1"/>
        </w:numPr>
        <w:spacing w:after="0" w:line="240" w:lineRule="auto"/>
        <w:rPr>
          <w:rFonts w:asciiTheme="minorHAnsi" w:eastAsiaTheme="minorHAnsi" w:hAnsiTheme="minorHAnsi" w:cstheme="minorBidi"/>
        </w:rPr>
      </w:pPr>
      <w:r>
        <w:rPr>
          <w:rFonts w:asciiTheme="minorHAnsi" w:hAnsiTheme="minorHAnsi" w:cs="Calibri"/>
        </w:rPr>
        <w:t xml:space="preserve">The </w:t>
      </w:r>
      <w:r w:rsidR="00092B68">
        <w:t xml:space="preserve">WEX and the educational component </w:t>
      </w:r>
      <w:r w:rsidR="00B03BBF">
        <w:t>may be provided, before, during, or after the WEX</w:t>
      </w:r>
      <w:r w:rsidR="00092B68">
        <w:t>, and the educational component must be related to the skills and knowledge needed in the WEX</w:t>
      </w:r>
      <w:r w:rsidR="00315C90">
        <w:t xml:space="preserve">, or related </w:t>
      </w:r>
      <w:r w:rsidR="00B03BBF">
        <w:t>occupation</w:t>
      </w:r>
      <w:r w:rsidR="00B03BBF" w:rsidDel="00092B68">
        <w:rPr>
          <w:rFonts w:asciiTheme="minorHAnsi" w:hAnsiTheme="minorHAnsi" w:cs="Calibri"/>
        </w:rPr>
        <w:t xml:space="preserve"> </w:t>
      </w:r>
      <w:r w:rsidR="00B03BBF" w:rsidRPr="004C2146">
        <w:rPr>
          <w:rFonts w:asciiTheme="minorHAnsi" w:hAnsiTheme="minorHAnsi" w:cs="Calibri"/>
        </w:rPr>
        <w:t>a</w:t>
      </w:r>
      <w:r w:rsidR="00CB2A04" w:rsidRPr="004C2146">
        <w:rPr>
          <w:rFonts w:asciiTheme="minorHAnsi" w:hAnsiTheme="minorHAnsi" w:cs="Calibri"/>
        </w:rPr>
        <w:t xml:space="preserve"> specific occupation, occupational cluster, or career pathway</w:t>
      </w:r>
      <w:r w:rsidR="004C2146">
        <w:rPr>
          <w:rFonts w:asciiTheme="minorHAnsi" w:hAnsiTheme="minorHAnsi" w:cs="Calibri"/>
        </w:rPr>
        <w:t>.</w:t>
      </w:r>
    </w:p>
    <w:p w14:paraId="24B3FDB8" w14:textId="77777777" w:rsidR="00F259AF" w:rsidRPr="004C2146" w:rsidRDefault="00CB2A04" w:rsidP="00783108">
      <w:pPr>
        <w:pStyle w:val="ListParagraph"/>
        <w:spacing w:after="0" w:line="240" w:lineRule="auto"/>
        <w:ind w:left="1440"/>
        <w:rPr>
          <w:rFonts w:asciiTheme="minorHAnsi" w:eastAsiaTheme="minorHAnsi" w:hAnsiTheme="minorHAnsi" w:cstheme="minorBidi"/>
        </w:rPr>
      </w:pPr>
      <w:r w:rsidRPr="004C2146">
        <w:rPr>
          <w:rFonts w:asciiTheme="minorHAnsi" w:hAnsiTheme="minorHAnsi" w:cs="Calibri"/>
        </w:rPr>
        <w:t xml:space="preserve"> </w:t>
      </w:r>
    </w:p>
    <w:p w14:paraId="281934A4" w14:textId="77777777" w:rsidR="00F259AF" w:rsidRDefault="00417359" w:rsidP="0099549C">
      <w:pPr>
        <w:pStyle w:val="ListParagraph"/>
        <w:numPr>
          <w:ilvl w:val="0"/>
          <w:numId w:val="1"/>
        </w:numPr>
        <w:spacing w:after="0" w:line="240" w:lineRule="auto"/>
        <w:rPr>
          <w:rFonts w:asciiTheme="minorHAnsi" w:eastAsiaTheme="minorHAnsi" w:hAnsiTheme="minorHAnsi" w:cstheme="minorBidi"/>
          <w:b/>
        </w:rPr>
      </w:pPr>
      <w:r>
        <w:rPr>
          <w:rFonts w:asciiTheme="minorHAnsi" w:eastAsiaTheme="minorHAnsi" w:hAnsiTheme="minorHAnsi" w:cstheme="minorBidi"/>
          <w:b/>
        </w:rPr>
        <w:t>T</w:t>
      </w:r>
      <w:r w:rsidR="00F04B91" w:rsidRPr="00B833EC">
        <w:rPr>
          <w:rFonts w:asciiTheme="minorHAnsi" w:eastAsiaTheme="minorHAnsi" w:hAnsiTheme="minorHAnsi" w:cstheme="minorBidi"/>
          <w:b/>
        </w:rPr>
        <w:t xml:space="preserve">ypes of work experiences </w:t>
      </w:r>
    </w:p>
    <w:p w14:paraId="6A054547" w14:textId="77777777" w:rsidR="004C2146" w:rsidRDefault="00B833EC" w:rsidP="00783108">
      <w:pPr>
        <w:pStyle w:val="ListParagraph"/>
        <w:spacing w:after="0" w:line="240" w:lineRule="auto"/>
        <w:rPr>
          <w:rFonts w:asciiTheme="minorHAnsi" w:eastAsiaTheme="minorHAnsi" w:hAnsiTheme="minorHAnsi" w:cstheme="minorBidi"/>
        </w:rPr>
      </w:pPr>
      <w:r w:rsidRPr="00B833EC">
        <w:rPr>
          <w:rFonts w:asciiTheme="minorHAnsi" w:eastAsiaTheme="minorHAnsi" w:hAnsiTheme="minorHAnsi" w:cstheme="minorBidi"/>
        </w:rPr>
        <w:t>Work experience</w:t>
      </w:r>
      <w:r w:rsidR="00176DBF">
        <w:rPr>
          <w:rFonts w:asciiTheme="minorHAnsi" w:eastAsiaTheme="minorHAnsi" w:hAnsiTheme="minorHAnsi" w:cstheme="minorBidi"/>
        </w:rPr>
        <w:t>s</w:t>
      </w:r>
      <w:r w:rsidRPr="00B833EC">
        <w:rPr>
          <w:rFonts w:asciiTheme="minorHAnsi" w:eastAsiaTheme="minorHAnsi" w:hAnsiTheme="minorHAnsi" w:cstheme="minorBidi"/>
        </w:rPr>
        <w:t xml:space="preserve"> may be paid or unpaid, as appropriate. A work experience may take place in the private for-profit sector, the non-profit sector, or the public sector. Labor standards apply in any work experience where an employee/employer relationship, as defined by the Fair Labor Standards Act or applicable </w:t>
      </w:r>
      <w:r w:rsidR="007F0200">
        <w:rPr>
          <w:rFonts w:asciiTheme="minorHAnsi" w:eastAsiaTheme="minorHAnsi" w:hAnsiTheme="minorHAnsi" w:cstheme="minorBidi"/>
        </w:rPr>
        <w:t>s</w:t>
      </w:r>
      <w:r w:rsidRPr="00B833EC">
        <w:rPr>
          <w:rFonts w:asciiTheme="minorHAnsi" w:eastAsiaTheme="minorHAnsi" w:hAnsiTheme="minorHAnsi" w:cstheme="minorBidi"/>
        </w:rPr>
        <w:t xml:space="preserve">tate law, exists. </w:t>
      </w:r>
    </w:p>
    <w:p w14:paraId="673F9C7E" w14:textId="77777777" w:rsidR="004C2146" w:rsidRDefault="004C2146" w:rsidP="00783108">
      <w:pPr>
        <w:pStyle w:val="ListParagraph"/>
        <w:spacing w:after="0" w:line="240" w:lineRule="auto"/>
        <w:rPr>
          <w:rFonts w:asciiTheme="minorHAnsi" w:eastAsiaTheme="minorHAnsi" w:hAnsiTheme="minorHAnsi" w:cstheme="minorBidi"/>
        </w:rPr>
      </w:pPr>
    </w:p>
    <w:p w14:paraId="0E63769A" w14:textId="65DBF6F9" w:rsidR="00B833EC" w:rsidRPr="00B833EC" w:rsidRDefault="00B833EC" w:rsidP="00783108">
      <w:pPr>
        <w:pStyle w:val="ListParagraph"/>
        <w:spacing w:after="0" w:line="240" w:lineRule="auto"/>
        <w:rPr>
          <w:rFonts w:asciiTheme="minorHAnsi" w:eastAsiaTheme="minorHAnsi" w:hAnsiTheme="minorHAnsi" w:cstheme="minorBidi"/>
        </w:rPr>
      </w:pPr>
      <w:r w:rsidRPr="00B833EC">
        <w:rPr>
          <w:rFonts w:asciiTheme="minorHAnsi" w:eastAsiaTheme="minorHAnsi" w:hAnsiTheme="minorHAnsi" w:cstheme="minorBidi"/>
        </w:rPr>
        <w:t>Work experiences provide the youth participant with opportunities for career exploration and skill development</w:t>
      </w:r>
      <w:r>
        <w:rPr>
          <w:rFonts w:asciiTheme="minorHAnsi" w:eastAsiaTheme="minorHAnsi" w:hAnsiTheme="minorHAnsi" w:cstheme="minorBidi"/>
        </w:rPr>
        <w:t xml:space="preserve"> and could include the following:</w:t>
      </w:r>
      <w:r w:rsidRPr="00B833EC">
        <w:rPr>
          <w:rFonts w:asciiTheme="minorHAnsi" w:eastAsiaTheme="minorHAnsi" w:hAnsiTheme="minorHAnsi" w:cstheme="minorBidi"/>
        </w:rPr>
        <w:t xml:space="preserve"> </w:t>
      </w:r>
    </w:p>
    <w:p w14:paraId="18C9A9D8" w14:textId="77777777" w:rsidR="00B567C7" w:rsidRDefault="00B567C7" w:rsidP="00783108">
      <w:pPr>
        <w:pStyle w:val="ListParagraph"/>
        <w:spacing w:after="0" w:line="240" w:lineRule="auto"/>
        <w:rPr>
          <w:rFonts w:asciiTheme="minorHAnsi" w:eastAsiaTheme="minorHAnsi" w:hAnsiTheme="minorHAnsi" w:cstheme="minorBidi"/>
        </w:rPr>
      </w:pPr>
    </w:p>
    <w:p w14:paraId="0B858A48" w14:textId="77777777" w:rsidR="00F259AF" w:rsidRDefault="00F04B91" w:rsidP="0099549C">
      <w:pPr>
        <w:pStyle w:val="ListParagraph"/>
        <w:numPr>
          <w:ilvl w:val="1"/>
          <w:numId w:val="1"/>
        </w:numPr>
        <w:spacing w:after="0" w:line="240" w:lineRule="auto"/>
        <w:rPr>
          <w:rFonts w:asciiTheme="minorHAnsi" w:eastAsiaTheme="minorHAnsi" w:hAnsiTheme="minorHAnsi" w:cstheme="minorBidi"/>
        </w:rPr>
      </w:pPr>
      <w:r w:rsidRPr="00F259AF">
        <w:rPr>
          <w:rFonts w:asciiTheme="minorHAnsi" w:eastAsiaTheme="minorHAnsi" w:hAnsiTheme="minorHAnsi" w:cstheme="minorBidi"/>
        </w:rPr>
        <w:t xml:space="preserve">Summer employment opportunities and other employment opportunities available throughout the school </w:t>
      </w:r>
      <w:proofErr w:type="gramStart"/>
      <w:r w:rsidRPr="00F259AF">
        <w:rPr>
          <w:rFonts w:asciiTheme="minorHAnsi" w:eastAsiaTheme="minorHAnsi" w:hAnsiTheme="minorHAnsi" w:cstheme="minorBidi"/>
        </w:rPr>
        <w:t>year;</w:t>
      </w:r>
      <w:proofErr w:type="gramEnd"/>
      <w:r w:rsidRPr="00F259AF">
        <w:rPr>
          <w:rFonts w:asciiTheme="minorHAnsi" w:eastAsiaTheme="minorHAnsi" w:hAnsiTheme="minorHAnsi" w:cstheme="minorBidi"/>
        </w:rPr>
        <w:t xml:space="preserve"> </w:t>
      </w:r>
    </w:p>
    <w:p w14:paraId="1D169239" w14:textId="77777777" w:rsidR="003203EB" w:rsidRDefault="003203EB" w:rsidP="00783108">
      <w:pPr>
        <w:pStyle w:val="ListParagraph"/>
        <w:spacing w:after="0" w:line="240" w:lineRule="auto"/>
        <w:ind w:left="1440"/>
        <w:rPr>
          <w:rFonts w:asciiTheme="minorHAnsi" w:eastAsiaTheme="minorHAnsi" w:hAnsiTheme="minorHAnsi" w:cstheme="minorBidi"/>
        </w:rPr>
      </w:pPr>
    </w:p>
    <w:p w14:paraId="05F452AD" w14:textId="77777777" w:rsidR="00F259AF" w:rsidRDefault="00F04B91" w:rsidP="0099549C">
      <w:pPr>
        <w:pStyle w:val="ListParagraph"/>
        <w:numPr>
          <w:ilvl w:val="1"/>
          <w:numId w:val="1"/>
        </w:numPr>
        <w:spacing w:after="0" w:line="240" w:lineRule="auto"/>
        <w:rPr>
          <w:rFonts w:asciiTheme="minorHAnsi" w:eastAsiaTheme="minorHAnsi" w:hAnsiTheme="minorHAnsi" w:cstheme="minorBidi"/>
        </w:rPr>
      </w:pPr>
      <w:r w:rsidRPr="009D280B">
        <w:rPr>
          <w:rFonts w:asciiTheme="minorHAnsi" w:eastAsiaTheme="minorHAnsi" w:hAnsiTheme="minorHAnsi" w:cstheme="minorBidi"/>
          <w:noProof/>
        </w:rPr>
        <w:t xml:space="preserve">Pre-apprenticeship </w:t>
      </w:r>
      <w:proofErr w:type="gramStart"/>
      <w:r w:rsidRPr="009D280B">
        <w:rPr>
          <w:rFonts w:asciiTheme="minorHAnsi" w:eastAsiaTheme="minorHAnsi" w:hAnsiTheme="minorHAnsi" w:cstheme="minorBidi"/>
          <w:noProof/>
        </w:rPr>
        <w:t>programs</w:t>
      </w:r>
      <w:r w:rsidRPr="00F259AF">
        <w:rPr>
          <w:rFonts w:asciiTheme="minorHAnsi" w:eastAsiaTheme="minorHAnsi" w:hAnsiTheme="minorHAnsi" w:cstheme="minorBidi"/>
        </w:rPr>
        <w:t>;</w:t>
      </w:r>
      <w:proofErr w:type="gramEnd"/>
      <w:r w:rsidRPr="00F259AF">
        <w:rPr>
          <w:rFonts w:asciiTheme="minorHAnsi" w:eastAsiaTheme="minorHAnsi" w:hAnsiTheme="minorHAnsi" w:cstheme="minorBidi"/>
        </w:rPr>
        <w:t xml:space="preserve"> </w:t>
      </w:r>
    </w:p>
    <w:p w14:paraId="091472A5" w14:textId="77777777" w:rsidR="003203EB" w:rsidRDefault="003203EB" w:rsidP="00783108">
      <w:pPr>
        <w:pStyle w:val="ListParagraph"/>
        <w:spacing w:after="0" w:line="240" w:lineRule="auto"/>
        <w:ind w:left="1440"/>
        <w:rPr>
          <w:rFonts w:asciiTheme="minorHAnsi" w:eastAsiaTheme="minorHAnsi" w:hAnsiTheme="minorHAnsi" w:cstheme="minorBidi"/>
        </w:rPr>
      </w:pPr>
    </w:p>
    <w:p w14:paraId="707ED577" w14:textId="77777777" w:rsidR="00F259AF" w:rsidRDefault="00F04B91" w:rsidP="0099549C">
      <w:pPr>
        <w:pStyle w:val="ListParagraph"/>
        <w:numPr>
          <w:ilvl w:val="1"/>
          <w:numId w:val="1"/>
        </w:numPr>
        <w:spacing w:after="0" w:line="240" w:lineRule="auto"/>
        <w:rPr>
          <w:rFonts w:asciiTheme="minorHAnsi" w:eastAsiaTheme="minorHAnsi" w:hAnsiTheme="minorHAnsi" w:cstheme="minorBidi"/>
        </w:rPr>
      </w:pPr>
      <w:r w:rsidRPr="00F259AF">
        <w:rPr>
          <w:rFonts w:asciiTheme="minorHAnsi" w:eastAsiaTheme="minorHAnsi" w:hAnsiTheme="minorHAnsi" w:cstheme="minorBidi"/>
        </w:rPr>
        <w:t xml:space="preserve">Internships and job shadowing; and </w:t>
      </w:r>
    </w:p>
    <w:p w14:paraId="4CD038E8" w14:textId="77777777" w:rsidR="003203EB" w:rsidRDefault="003203EB" w:rsidP="00783108">
      <w:pPr>
        <w:pStyle w:val="ListParagraph"/>
        <w:spacing w:after="0" w:line="240" w:lineRule="auto"/>
        <w:ind w:left="1440"/>
        <w:rPr>
          <w:rFonts w:asciiTheme="minorHAnsi" w:eastAsiaTheme="minorHAnsi" w:hAnsiTheme="minorHAnsi" w:cstheme="minorBidi"/>
        </w:rPr>
      </w:pPr>
    </w:p>
    <w:p w14:paraId="6B23EDBA" w14:textId="77777777" w:rsidR="00F259AF" w:rsidRDefault="00F04B91" w:rsidP="0099549C">
      <w:pPr>
        <w:pStyle w:val="ListParagraph"/>
        <w:numPr>
          <w:ilvl w:val="1"/>
          <w:numId w:val="1"/>
        </w:numPr>
        <w:spacing w:after="0" w:line="240" w:lineRule="auto"/>
        <w:rPr>
          <w:rFonts w:asciiTheme="minorHAnsi" w:eastAsiaTheme="minorHAnsi" w:hAnsiTheme="minorHAnsi" w:cstheme="minorBidi"/>
        </w:rPr>
      </w:pPr>
      <w:r w:rsidRPr="00F259AF">
        <w:rPr>
          <w:rFonts w:asciiTheme="minorHAnsi" w:eastAsiaTheme="minorHAnsi" w:hAnsiTheme="minorHAnsi" w:cstheme="minorBidi"/>
        </w:rPr>
        <w:t xml:space="preserve">On-the-job training opportunities as defined in WIOA sec. 3(44) and in § 680.700. </w:t>
      </w:r>
    </w:p>
    <w:p w14:paraId="5C63E36B" w14:textId="77777777" w:rsidR="00231E06" w:rsidRDefault="00231E06" w:rsidP="00783108">
      <w:pPr>
        <w:pStyle w:val="ListParagraph"/>
        <w:spacing w:after="0" w:line="240" w:lineRule="auto"/>
        <w:ind w:left="1440"/>
        <w:rPr>
          <w:rFonts w:asciiTheme="minorHAnsi" w:eastAsiaTheme="minorHAnsi" w:hAnsiTheme="minorHAnsi" w:cstheme="minorBidi"/>
        </w:rPr>
      </w:pPr>
    </w:p>
    <w:p w14:paraId="7F185A9B" w14:textId="77777777" w:rsidR="00231E06" w:rsidRPr="00231E06" w:rsidRDefault="00231E06" w:rsidP="00783108">
      <w:pPr>
        <w:pStyle w:val="ListParagraph"/>
        <w:spacing w:after="0" w:line="240" w:lineRule="auto"/>
        <w:rPr>
          <w:rFonts w:asciiTheme="minorHAnsi" w:hAnsiTheme="minorHAnsi" w:cs="Calibri"/>
        </w:rPr>
      </w:pPr>
      <w:r w:rsidRPr="00231E06">
        <w:rPr>
          <w:rFonts w:asciiTheme="minorHAnsi" w:hAnsiTheme="minorHAnsi" w:cs="Calibri"/>
          <w:b/>
        </w:rPr>
        <w:t>Note:</w:t>
      </w:r>
      <w:r w:rsidRPr="00231E06">
        <w:rPr>
          <w:rFonts w:asciiTheme="minorHAnsi" w:hAnsiTheme="minorHAnsi" w:cs="Calibri"/>
        </w:rPr>
        <w:t xml:space="preserve"> WIOA does not d</w:t>
      </w:r>
      <w:r w:rsidR="00AF66B4">
        <w:rPr>
          <w:rFonts w:asciiTheme="minorHAnsi" w:hAnsiTheme="minorHAnsi" w:cs="Calibri"/>
        </w:rPr>
        <w:t xml:space="preserve">ifferentiate between the terms </w:t>
      </w:r>
      <w:r w:rsidRPr="00AF66B4">
        <w:rPr>
          <w:rFonts w:asciiTheme="minorHAnsi" w:hAnsiTheme="minorHAnsi" w:cs="Calibri"/>
          <w:b/>
        </w:rPr>
        <w:t>work experience (WEX</w:t>
      </w:r>
      <w:r w:rsidRPr="00315C90">
        <w:rPr>
          <w:rFonts w:asciiTheme="minorHAnsi" w:hAnsiTheme="minorHAnsi" w:cs="Calibri"/>
          <w:b/>
        </w:rPr>
        <w:t>)</w:t>
      </w:r>
      <w:r w:rsidRPr="00231E06">
        <w:rPr>
          <w:rFonts w:asciiTheme="minorHAnsi" w:hAnsiTheme="minorHAnsi" w:cs="Calibri"/>
        </w:rPr>
        <w:t xml:space="preserve"> or </w:t>
      </w:r>
      <w:r w:rsidRPr="00AF66B4">
        <w:rPr>
          <w:rFonts w:asciiTheme="minorHAnsi" w:hAnsiTheme="minorHAnsi" w:cs="Calibri"/>
          <w:b/>
        </w:rPr>
        <w:t>internship</w:t>
      </w:r>
      <w:r w:rsidRPr="00231E06">
        <w:rPr>
          <w:rFonts w:asciiTheme="minorHAnsi" w:hAnsiTheme="minorHAnsi" w:cs="Calibri"/>
        </w:rPr>
        <w:t>.</w:t>
      </w:r>
    </w:p>
    <w:p w14:paraId="6458EB3C" w14:textId="77777777" w:rsidR="00F259AF" w:rsidRDefault="00F259AF" w:rsidP="00783108">
      <w:pPr>
        <w:pStyle w:val="ListParagraph"/>
        <w:spacing w:after="0" w:line="240" w:lineRule="auto"/>
        <w:ind w:left="1440"/>
        <w:rPr>
          <w:rFonts w:asciiTheme="minorHAnsi" w:eastAsiaTheme="minorHAnsi" w:hAnsiTheme="minorHAnsi" w:cstheme="minorBidi"/>
        </w:rPr>
      </w:pPr>
    </w:p>
    <w:p w14:paraId="4245519C" w14:textId="77777777" w:rsidR="00B833EC" w:rsidRPr="00B833EC" w:rsidRDefault="00B833EC" w:rsidP="0099549C">
      <w:pPr>
        <w:pStyle w:val="ListParagraph"/>
        <w:numPr>
          <w:ilvl w:val="0"/>
          <w:numId w:val="1"/>
        </w:numPr>
        <w:spacing w:after="0" w:line="240" w:lineRule="auto"/>
        <w:rPr>
          <w:rFonts w:asciiTheme="minorHAnsi" w:eastAsiaTheme="minorHAnsi" w:hAnsiTheme="minorHAnsi" w:cstheme="minorBidi"/>
          <w:b/>
        </w:rPr>
      </w:pPr>
      <w:r w:rsidRPr="00B833EC">
        <w:rPr>
          <w:rFonts w:asciiTheme="minorHAnsi" w:eastAsiaTheme="minorHAnsi" w:hAnsiTheme="minorHAnsi" w:cstheme="minorBidi"/>
          <w:b/>
        </w:rPr>
        <w:t>Administrative Monitoring</w:t>
      </w:r>
      <w:r w:rsidR="006F5B8B">
        <w:rPr>
          <w:rFonts w:asciiTheme="minorHAnsi" w:eastAsiaTheme="minorHAnsi" w:hAnsiTheme="minorHAnsi" w:cstheme="minorBidi"/>
          <w:b/>
        </w:rPr>
        <w:t xml:space="preserve"> of WEX funds</w:t>
      </w:r>
    </w:p>
    <w:p w14:paraId="7858AE54" w14:textId="77777777" w:rsidR="00B833EC" w:rsidRDefault="00B833EC" w:rsidP="00162290">
      <w:pPr>
        <w:pStyle w:val="ListParagraph"/>
        <w:spacing w:after="0" w:line="240" w:lineRule="auto"/>
        <w:rPr>
          <w:rFonts w:asciiTheme="minorHAnsi" w:eastAsiaTheme="minorHAnsi" w:hAnsiTheme="minorHAnsi" w:cstheme="minorBidi"/>
        </w:rPr>
      </w:pPr>
      <w:r>
        <w:rPr>
          <w:rFonts w:asciiTheme="minorHAnsi" w:eastAsiaTheme="minorHAnsi" w:hAnsiTheme="minorHAnsi" w:cstheme="minorBidi"/>
        </w:rPr>
        <w:t xml:space="preserve">Each local area must monitor and track all </w:t>
      </w:r>
      <w:r w:rsidR="00524885">
        <w:rPr>
          <w:rFonts w:asciiTheme="minorHAnsi" w:eastAsiaTheme="minorHAnsi" w:hAnsiTheme="minorHAnsi" w:cstheme="minorBidi"/>
        </w:rPr>
        <w:t xml:space="preserve">funds spent on </w:t>
      </w:r>
      <w:r>
        <w:rPr>
          <w:rFonts w:asciiTheme="minorHAnsi" w:eastAsiaTheme="minorHAnsi" w:hAnsiTheme="minorHAnsi" w:cstheme="minorBidi"/>
        </w:rPr>
        <w:t>WEX contracted activities</w:t>
      </w:r>
      <w:r w:rsidR="004C2146">
        <w:rPr>
          <w:rFonts w:asciiTheme="minorHAnsi" w:eastAsiaTheme="minorHAnsi" w:hAnsiTheme="minorHAnsi" w:cstheme="minorBidi"/>
        </w:rPr>
        <w:t xml:space="preserve"> </w:t>
      </w:r>
      <w:r w:rsidR="004C2146" w:rsidRPr="004C2146">
        <w:rPr>
          <w:rFonts w:asciiTheme="minorHAnsi" w:hAnsiTheme="minorHAnsi" w:cs="Calibri"/>
        </w:rPr>
        <w:t>(</w:t>
      </w:r>
      <w:r w:rsidR="004C2146" w:rsidRPr="004C2146">
        <w:rPr>
          <w:rFonts w:asciiTheme="minorHAnsi" w:hAnsiTheme="minorHAnsi" w:cs="Calibri"/>
          <w:i/>
        </w:rPr>
        <w:t>CFR 681.600-610</w:t>
      </w:r>
      <w:r w:rsidR="004C2146" w:rsidRPr="004C2146">
        <w:rPr>
          <w:rFonts w:asciiTheme="minorHAnsi" w:hAnsiTheme="minorHAnsi" w:cs="Calibri"/>
        </w:rPr>
        <w:t>)</w:t>
      </w:r>
      <w:r w:rsidR="00524885">
        <w:rPr>
          <w:rFonts w:asciiTheme="minorHAnsi" w:eastAsiaTheme="minorHAnsi" w:hAnsiTheme="minorHAnsi" w:cstheme="minorBidi"/>
        </w:rPr>
        <w:t xml:space="preserve">. </w:t>
      </w:r>
      <w:r w:rsidR="00162290" w:rsidRPr="00162290">
        <w:rPr>
          <w:rFonts w:asciiTheme="minorHAnsi" w:eastAsiaTheme="minorHAnsi" w:hAnsiTheme="minorHAnsi" w:cstheme="minorBidi"/>
        </w:rPr>
        <w:t xml:space="preserve">The </w:t>
      </w:r>
      <w:r w:rsidR="00D53234">
        <w:rPr>
          <w:rFonts w:asciiTheme="minorHAnsi" w:eastAsiaTheme="minorHAnsi" w:hAnsiTheme="minorHAnsi" w:cstheme="minorBidi"/>
        </w:rPr>
        <w:t>Local Workforce Development Board (LWDB)</w:t>
      </w:r>
      <w:r w:rsidR="00D53234" w:rsidRPr="00162290">
        <w:rPr>
          <w:rFonts w:asciiTheme="minorHAnsi" w:eastAsiaTheme="minorHAnsi" w:hAnsiTheme="minorHAnsi" w:cstheme="minorBidi"/>
        </w:rPr>
        <w:t xml:space="preserve"> </w:t>
      </w:r>
      <w:r w:rsidR="00162290" w:rsidRPr="00162290">
        <w:rPr>
          <w:rFonts w:asciiTheme="minorHAnsi" w:eastAsiaTheme="minorHAnsi" w:hAnsiTheme="minorHAnsi" w:cstheme="minorBidi"/>
        </w:rPr>
        <w:t xml:space="preserve">is responsible for ensuring oversight of the program. The local area must periodically monitor the participant and the worksite or a host site to ensure that goals are </w:t>
      </w:r>
      <w:r w:rsidR="00162290" w:rsidRPr="009D280B">
        <w:rPr>
          <w:rFonts w:asciiTheme="minorHAnsi" w:eastAsiaTheme="minorHAnsi" w:hAnsiTheme="minorHAnsi" w:cstheme="minorBidi"/>
          <w:noProof/>
        </w:rPr>
        <w:t>being met</w:t>
      </w:r>
      <w:r w:rsidR="00162290" w:rsidRPr="00162290">
        <w:rPr>
          <w:rFonts w:asciiTheme="minorHAnsi" w:eastAsiaTheme="minorHAnsi" w:hAnsiTheme="minorHAnsi" w:cstheme="minorBidi"/>
        </w:rPr>
        <w:t xml:space="preserve"> and adherence to this guidance and WIOA law and regulations.</w:t>
      </w:r>
      <w:r w:rsidR="00162290">
        <w:rPr>
          <w:rFonts w:asciiTheme="minorHAnsi" w:eastAsiaTheme="minorHAnsi" w:hAnsiTheme="minorHAnsi" w:cstheme="minorBidi"/>
        </w:rPr>
        <w:t xml:space="preserve"> </w:t>
      </w:r>
      <w:r w:rsidR="00524885">
        <w:rPr>
          <w:rFonts w:asciiTheme="minorHAnsi" w:eastAsiaTheme="minorHAnsi" w:hAnsiTheme="minorHAnsi" w:cstheme="minorBidi"/>
        </w:rPr>
        <w:t>To maintain administrative monitoring:</w:t>
      </w:r>
      <w:r>
        <w:rPr>
          <w:rFonts w:asciiTheme="minorHAnsi" w:eastAsiaTheme="minorHAnsi" w:hAnsiTheme="minorHAnsi" w:cstheme="minorBidi"/>
        </w:rPr>
        <w:t xml:space="preserve"> </w:t>
      </w:r>
    </w:p>
    <w:p w14:paraId="7D24B27D" w14:textId="77777777" w:rsidR="00B833EC" w:rsidRDefault="00B833EC" w:rsidP="00783108">
      <w:pPr>
        <w:pStyle w:val="ListParagraph"/>
        <w:spacing w:after="0" w:line="240" w:lineRule="auto"/>
        <w:rPr>
          <w:rFonts w:asciiTheme="minorHAnsi" w:eastAsiaTheme="minorHAnsi" w:hAnsiTheme="minorHAnsi" w:cstheme="minorBidi"/>
        </w:rPr>
      </w:pPr>
    </w:p>
    <w:p w14:paraId="03E06DDC" w14:textId="77777777" w:rsidR="00F259AF" w:rsidRDefault="00F04B91" w:rsidP="0099549C">
      <w:pPr>
        <w:pStyle w:val="ListParagraph"/>
        <w:numPr>
          <w:ilvl w:val="1"/>
          <w:numId w:val="1"/>
        </w:numPr>
        <w:spacing w:after="0" w:line="240" w:lineRule="auto"/>
        <w:rPr>
          <w:rFonts w:asciiTheme="minorHAnsi" w:eastAsiaTheme="minorHAnsi" w:hAnsiTheme="minorHAnsi" w:cstheme="minorBidi"/>
        </w:rPr>
      </w:pPr>
      <w:r w:rsidRPr="00F259AF">
        <w:rPr>
          <w:rFonts w:asciiTheme="minorHAnsi" w:eastAsiaTheme="minorHAnsi" w:hAnsiTheme="minorHAnsi" w:cstheme="minorBidi"/>
        </w:rPr>
        <w:t xml:space="preserve">Local WIOA youth programs must track program funds spent on paid and unpaid work experiences, including wages and staff costs for the development and management of </w:t>
      </w:r>
      <w:r w:rsidRPr="00F259AF">
        <w:rPr>
          <w:rFonts w:asciiTheme="minorHAnsi" w:eastAsiaTheme="minorHAnsi" w:hAnsiTheme="minorHAnsi" w:cstheme="minorBidi"/>
        </w:rPr>
        <w:lastRenderedPageBreak/>
        <w:t xml:space="preserve">work experiences, and report such expenditures as part of the local WIOA youth financial reporting. </w:t>
      </w:r>
    </w:p>
    <w:p w14:paraId="53E33B8E" w14:textId="77777777" w:rsidR="00B567C7" w:rsidRDefault="00B567C7" w:rsidP="00783108">
      <w:pPr>
        <w:pStyle w:val="ListParagraph"/>
        <w:spacing w:after="0" w:line="240" w:lineRule="auto"/>
        <w:rPr>
          <w:rFonts w:asciiTheme="minorHAnsi" w:eastAsiaTheme="minorHAnsi" w:hAnsiTheme="minorHAnsi" w:cstheme="minorBidi"/>
        </w:rPr>
      </w:pPr>
    </w:p>
    <w:p w14:paraId="4F709DFD" w14:textId="77777777" w:rsidR="00F259AF" w:rsidRDefault="00F04B91" w:rsidP="0099549C">
      <w:pPr>
        <w:pStyle w:val="ListParagraph"/>
        <w:numPr>
          <w:ilvl w:val="2"/>
          <w:numId w:val="1"/>
        </w:numPr>
        <w:spacing w:after="0" w:line="240" w:lineRule="auto"/>
        <w:rPr>
          <w:rFonts w:asciiTheme="minorHAnsi" w:eastAsiaTheme="minorHAnsi" w:hAnsiTheme="minorHAnsi" w:cstheme="minorBidi"/>
        </w:rPr>
      </w:pPr>
      <w:r w:rsidRPr="00F259AF">
        <w:rPr>
          <w:rFonts w:asciiTheme="minorHAnsi" w:eastAsiaTheme="minorHAnsi" w:hAnsiTheme="minorHAnsi" w:cstheme="minorBidi"/>
        </w:rPr>
        <w:t xml:space="preserve">The percentage of funds spent on work experience is calculated based on the total local area youth funds expended for work experience rather than calculated separately for in-school and out-of-school youth. </w:t>
      </w:r>
    </w:p>
    <w:p w14:paraId="2E69BFDD" w14:textId="77777777" w:rsidR="00F119C8" w:rsidRDefault="00F119C8" w:rsidP="00F119C8">
      <w:pPr>
        <w:pStyle w:val="ListParagraph"/>
        <w:spacing w:after="0" w:line="240" w:lineRule="auto"/>
        <w:ind w:left="2160"/>
        <w:rPr>
          <w:rFonts w:asciiTheme="minorHAnsi" w:eastAsiaTheme="minorHAnsi" w:hAnsiTheme="minorHAnsi" w:cstheme="minorBidi"/>
        </w:rPr>
      </w:pPr>
    </w:p>
    <w:p w14:paraId="29F249AB" w14:textId="77777777" w:rsidR="00F119C8" w:rsidRDefault="00F119C8" w:rsidP="0099549C">
      <w:pPr>
        <w:pStyle w:val="ListParagraph"/>
        <w:numPr>
          <w:ilvl w:val="2"/>
          <w:numId w:val="1"/>
        </w:numPr>
        <w:spacing w:after="0" w:line="240" w:lineRule="auto"/>
        <w:rPr>
          <w:rFonts w:asciiTheme="minorHAnsi" w:eastAsiaTheme="minorHAnsi" w:hAnsiTheme="minorHAnsi" w:cstheme="minorBidi"/>
        </w:rPr>
      </w:pPr>
      <w:r w:rsidRPr="00F119C8">
        <w:rPr>
          <w:rFonts w:asciiTheme="minorHAnsi" w:eastAsiaTheme="minorHAnsi" w:hAnsiTheme="minorHAnsi" w:cstheme="minorBidi"/>
        </w:rPr>
        <w:t xml:space="preserve">Leveraged </w:t>
      </w:r>
      <w:r>
        <w:rPr>
          <w:rFonts w:asciiTheme="minorHAnsi" w:eastAsiaTheme="minorHAnsi" w:hAnsiTheme="minorHAnsi" w:cstheme="minorBidi"/>
        </w:rPr>
        <w:t xml:space="preserve">and </w:t>
      </w:r>
      <w:r w:rsidR="007F0200">
        <w:rPr>
          <w:rFonts w:asciiTheme="minorHAnsi" w:eastAsiaTheme="minorHAnsi" w:hAnsiTheme="minorHAnsi" w:cstheme="minorBidi"/>
        </w:rPr>
        <w:t>i</w:t>
      </w:r>
      <w:r>
        <w:rPr>
          <w:rFonts w:asciiTheme="minorHAnsi" w:eastAsiaTheme="minorHAnsi" w:hAnsiTheme="minorHAnsi" w:cstheme="minorBidi"/>
        </w:rPr>
        <w:t>n-</w:t>
      </w:r>
      <w:r w:rsidR="007F0200">
        <w:rPr>
          <w:rFonts w:asciiTheme="minorHAnsi" w:eastAsiaTheme="minorHAnsi" w:hAnsiTheme="minorHAnsi" w:cstheme="minorBidi"/>
        </w:rPr>
        <w:t>k</w:t>
      </w:r>
      <w:r>
        <w:rPr>
          <w:rFonts w:asciiTheme="minorHAnsi" w:eastAsiaTheme="minorHAnsi" w:hAnsiTheme="minorHAnsi" w:cstheme="minorBidi"/>
        </w:rPr>
        <w:t xml:space="preserve">ind </w:t>
      </w:r>
      <w:r w:rsidRPr="00F119C8">
        <w:rPr>
          <w:rFonts w:asciiTheme="minorHAnsi" w:eastAsiaTheme="minorHAnsi" w:hAnsiTheme="minorHAnsi" w:cstheme="minorBidi"/>
        </w:rPr>
        <w:t xml:space="preserve">resources cannot be used to fulfill </w:t>
      </w:r>
      <w:r w:rsidR="00705D79">
        <w:rPr>
          <w:rFonts w:asciiTheme="minorHAnsi" w:eastAsiaTheme="minorHAnsi" w:hAnsiTheme="minorHAnsi" w:cstheme="minorBidi"/>
        </w:rPr>
        <w:t>this requirement.</w:t>
      </w:r>
    </w:p>
    <w:p w14:paraId="4F00EA6E" w14:textId="77777777" w:rsidR="003203EB" w:rsidRDefault="003203EB" w:rsidP="00783108">
      <w:pPr>
        <w:pStyle w:val="ListParagraph"/>
        <w:spacing w:after="0" w:line="240" w:lineRule="auto"/>
        <w:ind w:left="1440"/>
        <w:rPr>
          <w:rFonts w:asciiTheme="minorHAnsi" w:eastAsiaTheme="minorHAnsi" w:hAnsiTheme="minorHAnsi" w:cstheme="minorBidi"/>
        </w:rPr>
      </w:pPr>
    </w:p>
    <w:p w14:paraId="712E5879" w14:textId="2EEB82FE" w:rsidR="00676BEE" w:rsidRDefault="00524885" w:rsidP="0099549C">
      <w:pPr>
        <w:pStyle w:val="ListParagraph"/>
        <w:numPr>
          <w:ilvl w:val="1"/>
          <w:numId w:val="1"/>
        </w:num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Local </w:t>
      </w:r>
      <w:r w:rsidR="007F0200">
        <w:rPr>
          <w:rFonts w:asciiTheme="minorHAnsi" w:eastAsiaTheme="minorHAnsi" w:hAnsiTheme="minorHAnsi" w:cstheme="minorBidi"/>
        </w:rPr>
        <w:t>y</w:t>
      </w:r>
      <w:r w:rsidR="00676BEE" w:rsidRPr="00676BEE">
        <w:rPr>
          <w:rFonts w:asciiTheme="minorHAnsi" w:eastAsiaTheme="minorHAnsi" w:hAnsiTheme="minorHAnsi" w:cstheme="minorBidi"/>
        </w:rPr>
        <w:t xml:space="preserve">outh formula funds may be used </w:t>
      </w:r>
      <w:r w:rsidR="009663A8">
        <w:rPr>
          <w:rFonts w:asciiTheme="minorHAnsi" w:eastAsiaTheme="minorHAnsi" w:hAnsiTheme="minorHAnsi" w:cstheme="minorBidi"/>
        </w:rPr>
        <w:t>for payments provided</w:t>
      </w:r>
      <w:r w:rsidR="00676BEE" w:rsidRPr="00676BEE">
        <w:rPr>
          <w:rFonts w:asciiTheme="minorHAnsi" w:eastAsiaTheme="minorHAnsi" w:hAnsiTheme="minorHAnsi" w:cstheme="minorBidi"/>
        </w:rPr>
        <w:t xml:space="preserve"> for </w:t>
      </w:r>
      <w:r w:rsidR="00092B68">
        <w:rPr>
          <w:rFonts w:asciiTheme="minorHAnsi" w:eastAsiaTheme="minorHAnsi" w:hAnsiTheme="minorHAnsi" w:cstheme="minorBidi"/>
        </w:rPr>
        <w:t>WEX</w:t>
      </w:r>
      <w:r w:rsidR="00676BEE" w:rsidRPr="00676BEE">
        <w:rPr>
          <w:rFonts w:asciiTheme="minorHAnsi" w:eastAsiaTheme="minorHAnsi" w:hAnsiTheme="minorHAnsi" w:cstheme="minorBidi"/>
        </w:rPr>
        <w:t xml:space="preserve"> in the public, private, </w:t>
      </w:r>
      <w:proofErr w:type="gramStart"/>
      <w:r w:rsidR="00676BEE" w:rsidRPr="00676BEE">
        <w:rPr>
          <w:rFonts w:asciiTheme="minorHAnsi" w:eastAsiaTheme="minorHAnsi" w:hAnsiTheme="minorHAnsi" w:cstheme="minorBidi"/>
        </w:rPr>
        <w:t>for-profit</w:t>
      </w:r>
      <w:proofErr w:type="gramEnd"/>
      <w:r w:rsidR="00676BEE" w:rsidRPr="00676BEE">
        <w:rPr>
          <w:rFonts w:asciiTheme="minorHAnsi" w:eastAsiaTheme="minorHAnsi" w:hAnsiTheme="minorHAnsi" w:cstheme="minorBidi"/>
        </w:rPr>
        <w:t xml:space="preserve"> or non-profit sectors when the participant’s objective assessment and individual service strategy</w:t>
      </w:r>
      <w:r w:rsidR="00F119C8">
        <w:rPr>
          <w:rFonts w:asciiTheme="minorHAnsi" w:eastAsiaTheme="minorHAnsi" w:hAnsiTheme="minorHAnsi" w:cstheme="minorBidi"/>
        </w:rPr>
        <w:t xml:space="preserve"> (ISS)</w:t>
      </w:r>
      <w:r w:rsidR="00676BEE" w:rsidRPr="00676BEE">
        <w:rPr>
          <w:rFonts w:asciiTheme="minorHAnsi" w:eastAsiaTheme="minorHAnsi" w:hAnsiTheme="minorHAnsi" w:cstheme="minorBidi"/>
        </w:rPr>
        <w:t xml:space="preserve"> indicate that a </w:t>
      </w:r>
      <w:r w:rsidR="00092B68">
        <w:rPr>
          <w:rFonts w:asciiTheme="minorHAnsi" w:eastAsiaTheme="minorHAnsi" w:hAnsiTheme="minorHAnsi" w:cstheme="minorBidi"/>
        </w:rPr>
        <w:t>WEX</w:t>
      </w:r>
      <w:r w:rsidR="00676BEE" w:rsidRPr="00676BEE">
        <w:rPr>
          <w:rFonts w:asciiTheme="minorHAnsi" w:eastAsiaTheme="minorHAnsi" w:hAnsiTheme="minorHAnsi" w:cstheme="minorBidi"/>
        </w:rPr>
        <w:t xml:space="preserve"> is appropriate.</w:t>
      </w:r>
    </w:p>
    <w:p w14:paraId="1A0503FC" w14:textId="77777777" w:rsidR="003A161A" w:rsidRDefault="003A161A" w:rsidP="00783108">
      <w:pPr>
        <w:pStyle w:val="ListParagraph"/>
        <w:spacing w:after="0" w:line="240" w:lineRule="auto"/>
        <w:ind w:left="1440"/>
        <w:rPr>
          <w:rFonts w:asciiTheme="minorHAnsi" w:eastAsiaTheme="minorHAnsi" w:hAnsiTheme="minorHAnsi" w:cstheme="minorBidi"/>
        </w:rPr>
      </w:pPr>
    </w:p>
    <w:p w14:paraId="4D768EEC" w14:textId="4C0FD4A1" w:rsidR="009D2BDF" w:rsidRDefault="009D2BDF" w:rsidP="0099549C">
      <w:pPr>
        <w:pStyle w:val="ListParagraph"/>
        <w:numPr>
          <w:ilvl w:val="1"/>
          <w:numId w:val="1"/>
        </w:num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The local area must specify the length or duration of time for each work experience assignment. </w:t>
      </w:r>
    </w:p>
    <w:p w14:paraId="5855CC4C" w14:textId="77777777" w:rsidR="009D2BDF" w:rsidRPr="009D2BDF" w:rsidRDefault="009D2BDF" w:rsidP="00783108">
      <w:pPr>
        <w:pStyle w:val="ListParagraph"/>
        <w:spacing w:line="240" w:lineRule="auto"/>
        <w:rPr>
          <w:rFonts w:asciiTheme="minorHAnsi" w:eastAsiaTheme="minorHAnsi" w:hAnsiTheme="minorHAnsi" w:cstheme="minorBidi"/>
        </w:rPr>
      </w:pPr>
    </w:p>
    <w:p w14:paraId="6E8B7445" w14:textId="77777777" w:rsidR="00E16770" w:rsidRDefault="00E16770" w:rsidP="0099549C">
      <w:pPr>
        <w:pStyle w:val="ListParagraph"/>
        <w:numPr>
          <w:ilvl w:val="1"/>
          <w:numId w:val="1"/>
        </w:num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Each local area must </w:t>
      </w:r>
      <w:r w:rsidR="003A161A">
        <w:rPr>
          <w:rFonts w:asciiTheme="minorHAnsi" w:eastAsiaTheme="minorHAnsi" w:hAnsiTheme="minorHAnsi" w:cstheme="minorBidi"/>
        </w:rPr>
        <w:t xml:space="preserve">specify the amount </w:t>
      </w:r>
      <w:r w:rsidR="00176DBF">
        <w:rPr>
          <w:rFonts w:asciiTheme="minorHAnsi" w:eastAsiaTheme="minorHAnsi" w:hAnsiTheme="minorHAnsi" w:cstheme="minorBidi"/>
        </w:rPr>
        <w:t>each</w:t>
      </w:r>
      <w:r w:rsidR="003663C9">
        <w:rPr>
          <w:rFonts w:asciiTheme="minorHAnsi" w:eastAsiaTheme="minorHAnsi" w:hAnsiTheme="minorHAnsi" w:cstheme="minorBidi"/>
        </w:rPr>
        <w:t xml:space="preserve"> </w:t>
      </w:r>
      <w:r w:rsidR="003A161A">
        <w:rPr>
          <w:rFonts w:asciiTheme="minorHAnsi" w:eastAsiaTheme="minorHAnsi" w:hAnsiTheme="minorHAnsi" w:cstheme="minorBidi"/>
        </w:rPr>
        <w:t xml:space="preserve">youth participant will receive during the duration of the WEX contracted period. </w:t>
      </w:r>
    </w:p>
    <w:p w14:paraId="76F87426" w14:textId="77777777" w:rsidR="003A161A" w:rsidRPr="003A161A" w:rsidRDefault="003A161A" w:rsidP="00783108">
      <w:pPr>
        <w:pStyle w:val="ListParagraph"/>
        <w:spacing w:line="240" w:lineRule="auto"/>
        <w:rPr>
          <w:rFonts w:asciiTheme="minorHAnsi" w:eastAsiaTheme="minorHAnsi" w:hAnsiTheme="minorHAnsi" w:cstheme="minorBidi"/>
        </w:rPr>
      </w:pPr>
    </w:p>
    <w:p w14:paraId="348CC406" w14:textId="77777777" w:rsidR="003A161A" w:rsidRDefault="003A161A" w:rsidP="0099549C">
      <w:pPr>
        <w:pStyle w:val="ListParagraph"/>
        <w:numPr>
          <w:ilvl w:val="2"/>
          <w:numId w:val="1"/>
        </w:numPr>
        <w:spacing w:after="0" w:line="240" w:lineRule="auto"/>
        <w:rPr>
          <w:rFonts w:asciiTheme="minorHAnsi" w:eastAsiaTheme="minorHAnsi" w:hAnsiTheme="minorHAnsi" w:cstheme="minorBidi"/>
        </w:rPr>
      </w:pPr>
      <w:r w:rsidRPr="003A161A">
        <w:rPr>
          <w:rFonts w:asciiTheme="minorHAnsi" w:eastAsiaTheme="minorHAnsi" w:hAnsiTheme="minorHAnsi" w:cstheme="minorBidi"/>
        </w:rPr>
        <w:t xml:space="preserve">Participants enrolled in a paid WEX shall be compensated </w:t>
      </w:r>
      <w:r w:rsidR="00125E91">
        <w:rPr>
          <w:rFonts w:asciiTheme="minorHAnsi" w:eastAsiaTheme="minorHAnsi" w:hAnsiTheme="minorHAnsi" w:cstheme="minorBidi"/>
        </w:rPr>
        <w:t xml:space="preserve">on </w:t>
      </w:r>
      <w:r w:rsidRPr="003A161A">
        <w:rPr>
          <w:rFonts w:asciiTheme="minorHAnsi" w:eastAsiaTheme="minorHAnsi" w:hAnsiTheme="minorHAnsi" w:cstheme="minorBidi"/>
        </w:rPr>
        <w:t xml:space="preserve">an </w:t>
      </w:r>
      <w:r w:rsidRPr="00152C98">
        <w:rPr>
          <w:rFonts w:asciiTheme="minorHAnsi" w:eastAsiaTheme="minorHAnsi" w:hAnsiTheme="minorHAnsi" w:cstheme="minorBidi"/>
        </w:rPr>
        <w:t>hourly</w:t>
      </w:r>
      <w:r w:rsidR="00F119C8" w:rsidRPr="00152C98">
        <w:rPr>
          <w:rFonts w:asciiTheme="minorHAnsi" w:eastAsiaTheme="minorHAnsi" w:hAnsiTheme="minorHAnsi" w:cstheme="minorBidi"/>
        </w:rPr>
        <w:t xml:space="preserve"> stipend or hourly</w:t>
      </w:r>
      <w:r w:rsidRPr="00152C98">
        <w:rPr>
          <w:rFonts w:asciiTheme="minorHAnsi" w:eastAsiaTheme="minorHAnsi" w:hAnsiTheme="minorHAnsi" w:cstheme="minorBidi"/>
        </w:rPr>
        <w:t xml:space="preserve"> </w:t>
      </w:r>
      <w:r w:rsidR="00E54706" w:rsidRPr="00152C98">
        <w:rPr>
          <w:rFonts w:asciiTheme="minorHAnsi" w:eastAsiaTheme="minorHAnsi" w:hAnsiTheme="minorHAnsi" w:cstheme="minorBidi"/>
        </w:rPr>
        <w:t>rate structure</w:t>
      </w:r>
      <w:r w:rsidRPr="003A161A">
        <w:rPr>
          <w:rFonts w:asciiTheme="minorHAnsi" w:eastAsiaTheme="minorHAnsi" w:hAnsiTheme="minorHAnsi" w:cstheme="minorBidi"/>
        </w:rPr>
        <w:t xml:space="preserve"> not less than the </w:t>
      </w:r>
      <w:r w:rsidR="007F0200">
        <w:rPr>
          <w:rFonts w:asciiTheme="minorHAnsi" w:eastAsiaTheme="minorHAnsi" w:hAnsiTheme="minorHAnsi" w:cstheme="minorBidi"/>
        </w:rPr>
        <w:t>s</w:t>
      </w:r>
      <w:r w:rsidRPr="003A161A">
        <w:rPr>
          <w:rFonts w:asciiTheme="minorHAnsi" w:eastAsiaTheme="minorHAnsi" w:hAnsiTheme="minorHAnsi" w:cstheme="minorBidi"/>
        </w:rPr>
        <w:t xml:space="preserve">tate or local minimum wage, whichever is higher. </w:t>
      </w:r>
    </w:p>
    <w:p w14:paraId="1748FB84" w14:textId="77777777" w:rsidR="003A161A" w:rsidRDefault="003A161A" w:rsidP="00783108">
      <w:pPr>
        <w:pStyle w:val="ListParagraph"/>
        <w:spacing w:after="0" w:line="240" w:lineRule="auto"/>
        <w:ind w:left="2160"/>
        <w:rPr>
          <w:rFonts w:asciiTheme="minorHAnsi" w:eastAsiaTheme="minorHAnsi" w:hAnsiTheme="minorHAnsi" w:cstheme="minorBidi"/>
        </w:rPr>
      </w:pPr>
    </w:p>
    <w:p w14:paraId="65E5A88E" w14:textId="77777777" w:rsidR="003A161A" w:rsidRPr="003A161A" w:rsidRDefault="003A161A" w:rsidP="0099549C">
      <w:pPr>
        <w:pStyle w:val="ListParagraph"/>
        <w:numPr>
          <w:ilvl w:val="1"/>
          <w:numId w:val="1"/>
        </w:num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Each </w:t>
      </w:r>
      <w:r w:rsidRPr="009D280B">
        <w:rPr>
          <w:rFonts w:asciiTheme="minorHAnsi" w:eastAsiaTheme="minorHAnsi" w:hAnsiTheme="minorHAnsi" w:cstheme="minorBidi"/>
          <w:noProof/>
        </w:rPr>
        <w:t>participant</w:t>
      </w:r>
      <w:r w:rsidRPr="003A161A">
        <w:rPr>
          <w:rFonts w:asciiTheme="minorHAnsi" w:eastAsiaTheme="minorHAnsi" w:hAnsiTheme="minorHAnsi" w:cstheme="minorBidi"/>
        </w:rPr>
        <w:t xml:space="preserve"> shall be paid only </w:t>
      </w:r>
      <w:r w:rsidRPr="009D280B">
        <w:rPr>
          <w:rFonts w:asciiTheme="minorHAnsi" w:eastAsiaTheme="minorHAnsi" w:hAnsiTheme="minorHAnsi" w:cstheme="minorBidi"/>
          <w:noProof/>
        </w:rPr>
        <w:t>for hours</w:t>
      </w:r>
      <w:r w:rsidRPr="003A161A">
        <w:rPr>
          <w:rFonts w:asciiTheme="minorHAnsi" w:eastAsiaTheme="minorHAnsi" w:hAnsiTheme="minorHAnsi" w:cstheme="minorBidi"/>
        </w:rPr>
        <w:t xml:space="preserve"> worked during the WEX as documented on the participant’s WEX</w:t>
      </w:r>
      <w:r>
        <w:rPr>
          <w:rFonts w:asciiTheme="minorHAnsi" w:eastAsiaTheme="minorHAnsi" w:hAnsiTheme="minorHAnsi" w:cstheme="minorBidi"/>
        </w:rPr>
        <w:t xml:space="preserve"> </w:t>
      </w:r>
      <w:r w:rsidRPr="009D280B">
        <w:rPr>
          <w:rFonts w:asciiTheme="minorHAnsi" w:eastAsiaTheme="minorHAnsi" w:hAnsiTheme="minorHAnsi" w:cstheme="minorBidi"/>
          <w:noProof/>
        </w:rPr>
        <w:t>contract</w:t>
      </w:r>
      <w:r w:rsidR="00F27A32" w:rsidRPr="009D280B">
        <w:rPr>
          <w:rFonts w:asciiTheme="minorHAnsi" w:eastAsiaTheme="minorHAnsi" w:hAnsiTheme="minorHAnsi" w:cstheme="minorBidi"/>
          <w:noProof/>
        </w:rPr>
        <w:t xml:space="preserve"> or</w:t>
      </w:r>
      <w:r w:rsidR="00F27A32">
        <w:rPr>
          <w:rFonts w:asciiTheme="minorHAnsi" w:eastAsiaTheme="minorHAnsi" w:hAnsiTheme="minorHAnsi" w:cstheme="minorBidi"/>
        </w:rPr>
        <w:t xml:space="preserve"> worksite agreement</w:t>
      </w:r>
      <w:r>
        <w:rPr>
          <w:rFonts w:asciiTheme="minorHAnsi" w:eastAsiaTheme="minorHAnsi" w:hAnsiTheme="minorHAnsi" w:cstheme="minorBidi"/>
        </w:rPr>
        <w:t xml:space="preserve"> and participant</w:t>
      </w:r>
      <w:r w:rsidR="00E54706">
        <w:rPr>
          <w:rFonts w:asciiTheme="minorHAnsi" w:eastAsiaTheme="minorHAnsi" w:hAnsiTheme="minorHAnsi" w:cstheme="minorBidi"/>
        </w:rPr>
        <w:t xml:space="preserve"> time</w:t>
      </w:r>
      <w:r w:rsidRPr="003A161A">
        <w:rPr>
          <w:rFonts w:asciiTheme="minorHAnsi" w:eastAsiaTheme="minorHAnsi" w:hAnsiTheme="minorHAnsi" w:cstheme="minorBidi"/>
        </w:rPr>
        <w:t>sheet</w:t>
      </w:r>
      <w:r w:rsidR="00F27A32">
        <w:rPr>
          <w:rFonts w:asciiTheme="minorHAnsi" w:eastAsiaTheme="minorHAnsi" w:hAnsiTheme="minorHAnsi" w:cstheme="minorBidi"/>
        </w:rPr>
        <w:t xml:space="preserve"> and </w:t>
      </w:r>
      <w:r w:rsidR="00E54706">
        <w:rPr>
          <w:rFonts w:asciiTheme="minorHAnsi" w:eastAsiaTheme="minorHAnsi" w:hAnsiTheme="minorHAnsi" w:cstheme="minorBidi"/>
        </w:rPr>
        <w:t>evaluation</w:t>
      </w:r>
      <w:r w:rsidRPr="003A161A">
        <w:rPr>
          <w:rFonts w:asciiTheme="minorHAnsi" w:eastAsiaTheme="minorHAnsi" w:hAnsiTheme="minorHAnsi" w:cstheme="minorBidi"/>
        </w:rPr>
        <w:t>.</w:t>
      </w:r>
    </w:p>
    <w:p w14:paraId="368032DE" w14:textId="77777777" w:rsidR="00F259AF" w:rsidRDefault="00F259AF" w:rsidP="00783108">
      <w:pPr>
        <w:pStyle w:val="ListParagraph"/>
        <w:spacing w:after="0" w:line="240" w:lineRule="auto"/>
        <w:ind w:left="1440"/>
        <w:rPr>
          <w:rFonts w:asciiTheme="minorHAnsi" w:eastAsiaTheme="minorHAnsi" w:hAnsiTheme="minorHAnsi" w:cstheme="minorBidi"/>
        </w:rPr>
      </w:pPr>
    </w:p>
    <w:p w14:paraId="6F2C3BF9" w14:textId="77777777" w:rsidR="007E5CD5" w:rsidRDefault="007E5CD5" w:rsidP="00783108">
      <w:pPr>
        <w:spacing w:after="0" w:line="240" w:lineRule="auto"/>
      </w:pPr>
      <w:r w:rsidRPr="00AC18CF">
        <w:rPr>
          <w:rFonts w:asciiTheme="minorHAnsi" w:hAnsiTheme="minorHAnsi"/>
          <w:b/>
        </w:rPr>
        <w:t>Note:</w:t>
      </w:r>
      <w:r>
        <w:rPr>
          <w:rFonts w:asciiTheme="minorHAnsi" w:hAnsiTheme="minorHAnsi"/>
        </w:rPr>
        <w:t xml:space="preserve"> </w:t>
      </w:r>
      <w:r>
        <w:t xml:space="preserve">Local area administrative costs are not subject to the 20 percent expenditure requirement. </w:t>
      </w:r>
    </w:p>
    <w:p w14:paraId="0F05AAAF" w14:textId="77777777" w:rsidR="007E5CD5" w:rsidRDefault="007E5CD5" w:rsidP="00783108">
      <w:pPr>
        <w:pStyle w:val="ListParagraph"/>
        <w:spacing w:after="0" w:line="240" w:lineRule="auto"/>
        <w:ind w:left="1440"/>
        <w:rPr>
          <w:rFonts w:asciiTheme="minorHAnsi" w:eastAsiaTheme="minorHAnsi" w:hAnsiTheme="minorHAnsi" w:cstheme="minorBidi"/>
        </w:rPr>
      </w:pPr>
    </w:p>
    <w:p w14:paraId="6771AC5A" w14:textId="77777777" w:rsidR="008479C3" w:rsidRPr="008479C3" w:rsidRDefault="003A07DA" w:rsidP="00543CCD">
      <w:pPr>
        <w:pStyle w:val="ListParagraph"/>
        <w:numPr>
          <w:ilvl w:val="0"/>
          <w:numId w:val="1"/>
        </w:numPr>
        <w:spacing w:after="0" w:line="240" w:lineRule="auto"/>
        <w:rPr>
          <w:rFonts w:asciiTheme="minorHAnsi" w:hAnsiTheme="minorHAnsi"/>
        </w:rPr>
      </w:pPr>
      <w:r w:rsidRPr="008479C3">
        <w:rPr>
          <w:rFonts w:asciiTheme="minorHAnsi" w:eastAsiaTheme="minorHAnsi" w:hAnsiTheme="minorHAnsi" w:cstheme="minorBidi"/>
          <w:b/>
        </w:rPr>
        <w:t xml:space="preserve">Allowable WEX Program Expenditures </w:t>
      </w:r>
    </w:p>
    <w:p w14:paraId="0EEDDC0E" w14:textId="77777777" w:rsidR="008479C3" w:rsidRPr="008479C3" w:rsidRDefault="008479C3" w:rsidP="008479C3">
      <w:pPr>
        <w:spacing w:after="0" w:line="240" w:lineRule="auto"/>
        <w:ind w:left="720"/>
        <w:rPr>
          <w:rFonts w:asciiTheme="minorHAnsi" w:hAnsiTheme="minorHAnsi"/>
        </w:rPr>
      </w:pPr>
      <w:r w:rsidRPr="005E0129">
        <w:rPr>
          <w:rFonts w:asciiTheme="minorHAnsi" w:hAnsiTheme="minorHAnsi"/>
          <w:bCs/>
          <w:i/>
          <w:iCs/>
        </w:rPr>
        <w:t>TEGL No. 8-15</w:t>
      </w:r>
      <w:r w:rsidRPr="008479C3">
        <w:rPr>
          <w:rFonts w:asciiTheme="minorHAnsi" w:hAnsiTheme="minorHAnsi"/>
        </w:rPr>
        <w:t xml:space="preserve"> provides further discussion of allowable expenditures that may be counted toward the work experience expenditure requirement and articulates that program expenditures can be more than just wages paid to youth in work experience.  Allowable work experience expenditures include the following:</w:t>
      </w:r>
    </w:p>
    <w:p w14:paraId="561FB304" w14:textId="77777777" w:rsidR="008479C3" w:rsidRPr="007A4E70" w:rsidRDefault="009663A8"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 xml:space="preserve">Payments provided </w:t>
      </w:r>
      <w:r w:rsidR="008479C3" w:rsidRPr="007A4E70">
        <w:rPr>
          <w:rFonts w:asciiTheme="minorHAnsi" w:hAnsiTheme="minorHAnsi"/>
          <w:sz w:val="22"/>
          <w:szCs w:val="22"/>
        </w:rPr>
        <w:t xml:space="preserve">for participation in a work </w:t>
      </w:r>
      <w:proofErr w:type="gramStart"/>
      <w:r w:rsidR="008479C3" w:rsidRPr="007A4E70">
        <w:rPr>
          <w:rFonts w:asciiTheme="minorHAnsi" w:hAnsiTheme="minorHAnsi"/>
          <w:sz w:val="22"/>
          <w:szCs w:val="22"/>
        </w:rPr>
        <w:t>experience;</w:t>
      </w:r>
      <w:proofErr w:type="gramEnd"/>
    </w:p>
    <w:p w14:paraId="1923878F"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Staff time working to identify and develop a work experience opportunity, including staff time spent working with employers to identify and develop the work experience;</w:t>
      </w:r>
    </w:p>
    <w:p w14:paraId="03142A08"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Staff time working with employers to ensure a successful work experience, including staff time spent managing the work experience;</w:t>
      </w:r>
    </w:p>
    <w:p w14:paraId="379D2769"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 xml:space="preserve">Staff time spent evaluating the work </w:t>
      </w:r>
      <w:proofErr w:type="gramStart"/>
      <w:r w:rsidRPr="007A4E70">
        <w:rPr>
          <w:rFonts w:asciiTheme="minorHAnsi" w:hAnsiTheme="minorHAnsi"/>
          <w:sz w:val="22"/>
          <w:szCs w:val="22"/>
        </w:rPr>
        <w:t>experience;</w:t>
      </w:r>
      <w:proofErr w:type="gramEnd"/>
    </w:p>
    <w:p w14:paraId="22FDAAF6"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 xml:space="preserve">Participant work experience orientation </w:t>
      </w:r>
      <w:proofErr w:type="gramStart"/>
      <w:r w:rsidRPr="007A4E70">
        <w:rPr>
          <w:rFonts w:asciiTheme="minorHAnsi" w:hAnsiTheme="minorHAnsi"/>
          <w:sz w:val="22"/>
          <w:szCs w:val="22"/>
        </w:rPr>
        <w:t>sessions;</w:t>
      </w:r>
      <w:proofErr w:type="gramEnd"/>
    </w:p>
    <w:p w14:paraId="7894523E"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 xml:space="preserve">Employer work experience orientation </w:t>
      </w:r>
      <w:proofErr w:type="gramStart"/>
      <w:r w:rsidRPr="007A4E70">
        <w:rPr>
          <w:rFonts w:asciiTheme="minorHAnsi" w:hAnsiTheme="minorHAnsi"/>
          <w:sz w:val="22"/>
          <w:szCs w:val="22"/>
        </w:rPr>
        <w:t>sessions;</w:t>
      </w:r>
      <w:proofErr w:type="gramEnd"/>
    </w:p>
    <w:p w14:paraId="6D23FB2C"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 xml:space="preserve">Classroom training or the required academic education component directly related to the work </w:t>
      </w:r>
      <w:proofErr w:type="gramStart"/>
      <w:r w:rsidRPr="007A4E70">
        <w:rPr>
          <w:rFonts w:asciiTheme="minorHAnsi" w:hAnsiTheme="minorHAnsi"/>
          <w:sz w:val="22"/>
          <w:szCs w:val="22"/>
        </w:rPr>
        <w:t>experience;</w:t>
      </w:r>
      <w:proofErr w:type="gramEnd"/>
      <w:r w:rsidRPr="007A4E70">
        <w:rPr>
          <w:rFonts w:asciiTheme="minorHAnsi" w:hAnsiTheme="minorHAnsi"/>
          <w:sz w:val="22"/>
          <w:szCs w:val="22"/>
        </w:rPr>
        <w:t xml:space="preserve"> </w:t>
      </w:r>
    </w:p>
    <w:p w14:paraId="1867C17F"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Incentive payments directly tied</w:t>
      </w:r>
      <w:r w:rsidR="006841B0" w:rsidRPr="007A4E70">
        <w:rPr>
          <w:rFonts w:asciiTheme="minorHAnsi" w:hAnsiTheme="minorHAnsi"/>
          <w:sz w:val="22"/>
          <w:szCs w:val="22"/>
        </w:rPr>
        <w:t xml:space="preserve"> </w:t>
      </w:r>
      <w:r w:rsidRPr="007A4E70">
        <w:rPr>
          <w:rFonts w:asciiTheme="minorHAnsi" w:hAnsiTheme="minorHAnsi"/>
          <w:sz w:val="22"/>
          <w:szCs w:val="22"/>
        </w:rPr>
        <w:t xml:space="preserve">to the completion of work experience; and </w:t>
      </w:r>
    </w:p>
    <w:p w14:paraId="5F76D803" w14:textId="77777777" w:rsidR="008479C3" w:rsidRPr="007A4E70" w:rsidRDefault="008479C3" w:rsidP="008479C3">
      <w:pPr>
        <w:pStyle w:val="NormalWeb"/>
        <w:numPr>
          <w:ilvl w:val="0"/>
          <w:numId w:val="3"/>
        </w:numPr>
        <w:rPr>
          <w:rFonts w:asciiTheme="minorHAnsi" w:hAnsiTheme="minorHAnsi"/>
          <w:sz w:val="22"/>
          <w:szCs w:val="22"/>
        </w:rPr>
      </w:pPr>
      <w:r w:rsidRPr="007A4E70">
        <w:rPr>
          <w:rFonts w:asciiTheme="minorHAnsi" w:hAnsiTheme="minorHAnsi"/>
          <w:sz w:val="22"/>
          <w:szCs w:val="22"/>
        </w:rPr>
        <w:t>Employability skills/job readiness training to prepare youth for a work experience.</w:t>
      </w:r>
    </w:p>
    <w:p w14:paraId="6D49D1BD" w14:textId="77777777" w:rsidR="003A07DA" w:rsidRPr="007A4E70" w:rsidRDefault="005E0129" w:rsidP="00497AE7">
      <w:pPr>
        <w:pStyle w:val="ListParagraph"/>
        <w:spacing w:line="240" w:lineRule="auto"/>
        <w:ind w:left="360"/>
        <w:rPr>
          <w:rFonts w:asciiTheme="minorHAnsi" w:hAnsiTheme="minorHAnsi"/>
        </w:rPr>
      </w:pPr>
      <w:r w:rsidRPr="007A4E70">
        <w:rPr>
          <w:rFonts w:asciiTheme="minorHAnsi" w:hAnsiTheme="minorHAnsi"/>
          <w:b/>
        </w:rPr>
        <w:lastRenderedPageBreak/>
        <w:t>Note:</w:t>
      </w:r>
      <w:r w:rsidRPr="007A4E70">
        <w:rPr>
          <w:rFonts w:asciiTheme="minorHAnsi" w:hAnsiTheme="minorHAnsi"/>
        </w:rPr>
        <w:t xml:space="preserve"> </w:t>
      </w:r>
      <w:r w:rsidR="00705D79">
        <w:rPr>
          <w:rFonts w:asciiTheme="minorHAnsi" w:hAnsiTheme="minorHAnsi"/>
        </w:rPr>
        <w:t>Per WIOA regulations, s</w:t>
      </w:r>
      <w:r w:rsidR="008479C3" w:rsidRPr="007A4E70">
        <w:rPr>
          <w:rFonts w:asciiTheme="minorHAnsi" w:hAnsiTheme="minorHAnsi"/>
        </w:rPr>
        <w:t>upportive services are a separate program element and cannot be counted toward the work experience expenditure requirement even if supportive services assist the youth in participating in the work experience.</w:t>
      </w:r>
    </w:p>
    <w:p w14:paraId="44003A05" w14:textId="77777777" w:rsidR="008479C3" w:rsidRPr="008479C3" w:rsidRDefault="008479C3" w:rsidP="008479C3">
      <w:pPr>
        <w:pStyle w:val="ListParagraph"/>
        <w:spacing w:after="0" w:line="240" w:lineRule="auto"/>
        <w:rPr>
          <w:rFonts w:asciiTheme="minorHAnsi" w:eastAsiaTheme="minorHAnsi" w:hAnsiTheme="minorHAnsi" w:cstheme="minorBidi"/>
          <w:b/>
        </w:rPr>
      </w:pPr>
    </w:p>
    <w:p w14:paraId="57BE9D1E" w14:textId="77777777" w:rsidR="005F7F5D" w:rsidRPr="005F7F5D" w:rsidRDefault="005F7F5D" w:rsidP="0099549C">
      <w:pPr>
        <w:pStyle w:val="ListParagraph"/>
        <w:numPr>
          <w:ilvl w:val="0"/>
          <w:numId w:val="1"/>
        </w:numPr>
        <w:spacing w:after="0" w:line="240" w:lineRule="auto"/>
        <w:rPr>
          <w:rFonts w:asciiTheme="minorHAnsi" w:eastAsiaTheme="minorHAnsi" w:hAnsiTheme="minorHAnsi" w:cstheme="minorBidi"/>
          <w:b/>
        </w:rPr>
      </w:pPr>
      <w:r w:rsidRPr="005F7F5D">
        <w:rPr>
          <w:rFonts w:asciiTheme="minorHAnsi" w:eastAsiaTheme="minorHAnsi" w:hAnsiTheme="minorHAnsi" w:cstheme="minorBidi"/>
          <w:b/>
        </w:rPr>
        <w:t xml:space="preserve">WEX </w:t>
      </w:r>
      <w:r w:rsidR="00AD1F8B">
        <w:rPr>
          <w:rFonts w:asciiTheme="minorHAnsi" w:eastAsiaTheme="minorHAnsi" w:hAnsiTheme="minorHAnsi" w:cstheme="minorBidi"/>
          <w:b/>
        </w:rPr>
        <w:t xml:space="preserve">Local Area </w:t>
      </w:r>
      <w:r w:rsidRPr="005F7F5D">
        <w:rPr>
          <w:rFonts w:asciiTheme="minorHAnsi" w:eastAsiaTheme="minorHAnsi" w:hAnsiTheme="minorHAnsi" w:cstheme="minorBidi"/>
          <w:b/>
        </w:rPr>
        <w:t>Written</w:t>
      </w:r>
      <w:r w:rsidR="00F119C8">
        <w:rPr>
          <w:rFonts w:asciiTheme="minorHAnsi" w:eastAsiaTheme="minorHAnsi" w:hAnsiTheme="minorHAnsi" w:cstheme="minorBidi"/>
          <w:b/>
        </w:rPr>
        <w:t xml:space="preserve"> </w:t>
      </w:r>
      <w:r w:rsidR="00533861">
        <w:rPr>
          <w:rFonts w:asciiTheme="minorHAnsi" w:eastAsiaTheme="minorHAnsi" w:hAnsiTheme="minorHAnsi" w:cstheme="minorBidi"/>
          <w:b/>
        </w:rPr>
        <w:t>Agreement</w:t>
      </w:r>
      <w:r w:rsidR="00F119C8">
        <w:rPr>
          <w:rFonts w:asciiTheme="minorHAnsi" w:eastAsiaTheme="minorHAnsi" w:hAnsiTheme="minorHAnsi" w:cstheme="minorBidi"/>
          <w:b/>
        </w:rPr>
        <w:t xml:space="preserve"> and</w:t>
      </w:r>
      <w:r w:rsidRPr="005F7F5D">
        <w:rPr>
          <w:rFonts w:asciiTheme="minorHAnsi" w:eastAsiaTheme="minorHAnsi" w:hAnsiTheme="minorHAnsi" w:cstheme="minorBidi"/>
          <w:b/>
        </w:rPr>
        <w:t xml:space="preserve"> Policy </w:t>
      </w:r>
    </w:p>
    <w:p w14:paraId="469E76CB" w14:textId="77777777" w:rsidR="00A94FFA" w:rsidRDefault="00F04B91" w:rsidP="00783108">
      <w:pPr>
        <w:spacing w:line="240" w:lineRule="auto"/>
        <w:ind w:left="720"/>
        <w:rPr>
          <w:rFonts w:asciiTheme="minorHAnsi" w:eastAsiaTheme="minorHAnsi" w:hAnsiTheme="minorHAnsi" w:cstheme="minorBidi"/>
        </w:rPr>
      </w:pPr>
      <w:r w:rsidRPr="009D280B">
        <w:rPr>
          <w:rFonts w:asciiTheme="minorHAnsi" w:eastAsiaTheme="minorHAnsi" w:hAnsiTheme="minorHAnsi" w:cstheme="minorBidi"/>
          <w:noProof/>
        </w:rPr>
        <w:t xml:space="preserve">Local </w:t>
      </w:r>
      <w:r w:rsidR="007F0200">
        <w:rPr>
          <w:rFonts w:asciiTheme="minorHAnsi" w:eastAsiaTheme="minorHAnsi" w:hAnsiTheme="minorHAnsi" w:cstheme="minorBidi"/>
          <w:noProof/>
        </w:rPr>
        <w:t>b</w:t>
      </w:r>
      <w:r w:rsidRPr="009D280B">
        <w:rPr>
          <w:rFonts w:asciiTheme="minorHAnsi" w:eastAsiaTheme="minorHAnsi" w:hAnsiTheme="minorHAnsi" w:cstheme="minorBidi"/>
          <w:noProof/>
        </w:rPr>
        <w:t xml:space="preserve">oards must have </w:t>
      </w:r>
      <w:r w:rsidR="00AD1F8B" w:rsidRPr="009D280B">
        <w:rPr>
          <w:rFonts w:asciiTheme="minorHAnsi" w:eastAsiaTheme="minorHAnsi" w:hAnsiTheme="minorHAnsi" w:cstheme="minorBidi"/>
          <w:noProof/>
        </w:rPr>
        <w:t xml:space="preserve">a </w:t>
      </w:r>
      <w:r w:rsidRPr="009D280B">
        <w:rPr>
          <w:rFonts w:asciiTheme="minorHAnsi" w:eastAsiaTheme="minorHAnsi" w:hAnsiTheme="minorHAnsi" w:cstheme="minorBidi"/>
          <w:noProof/>
        </w:rPr>
        <w:t xml:space="preserve">written </w:t>
      </w:r>
      <w:r w:rsidR="00533861" w:rsidRPr="009D280B">
        <w:rPr>
          <w:rFonts w:asciiTheme="minorHAnsi" w:eastAsiaTheme="minorHAnsi" w:hAnsiTheme="minorHAnsi" w:cstheme="minorBidi"/>
          <w:noProof/>
        </w:rPr>
        <w:t>agreement</w:t>
      </w:r>
      <w:r w:rsidR="00533861" w:rsidRPr="009D280B">
        <w:rPr>
          <w:rFonts w:asciiTheme="minorHAnsi" w:hAnsiTheme="minorHAnsi" w:cs="Calibri"/>
          <w:noProof/>
        </w:rPr>
        <w:t>, which may</w:t>
      </w:r>
      <w:r w:rsidR="00705D79">
        <w:rPr>
          <w:rFonts w:asciiTheme="minorHAnsi" w:hAnsiTheme="minorHAnsi" w:cs="Calibri"/>
          <w:noProof/>
        </w:rPr>
        <w:t xml:space="preserve">, as an example, </w:t>
      </w:r>
      <w:r w:rsidR="00533861" w:rsidRPr="009D280B">
        <w:rPr>
          <w:rFonts w:asciiTheme="minorHAnsi" w:hAnsiTheme="minorHAnsi" w:cs="Calibri"/>
          <w:noProof/>
        </w:rPr>
        <w:t>be called a worksite agreement, job site agreement, or host site agreement</w:t>
      </w:r>
      <w:r w:rsidR="00705D79">
        <w:rPr>
          <w:rFonts w:asciiTheme="minorHAnsi" w:hAnsiTheme="minorHAnsi" w:cs="Calibri"/>
          <w:noProof/>
        </w:rPr>
        <w:t>.</w:t>
      </w:r>
      <w:r w:rsidR="009D280B" w:rsidRPr="00E77EC8">
        <w:rPr>
          <w:rFonts w:asciiTheme="minorHAnsi" w:hAnsiTheme="minorHAnsi" w:cs="Calibri"/>
          <w:noProof/>
        </w:rPr>
        <w:t xml:space="preserve"> </w:t>
      </w:r>
      <w:r w:rsidR="009D280B">
        <w:rPr>
          <w:rFonts w:asciiTheme="minorHAnsi" w:hAnsiTheme="minorHAnsi" w:cs="Calibri"/>
          <w:noProof/>
        </w:rPr>
        <w:t>Each agreement</w:t>
      </w:r>
      <w:r w:rsidR="00533861" w:rsidRPr="009D280B">
        <w:rPr>
          <w:rFonts w:asciiTheme="minorHAnsi" w:hAnsiTheme="minorHAnsi" w:cs="Calibri"/>
          <w:noProof/>
        </w:rPr>
        <w:t xml:space="preserve"> must include at a minimum: the duration, remuneration, tasks, duties, supervision, health and safety standards</w:t>
      </w:r>
      <w:r w:rsidR="007F0200">
        <w:rPr>
          <w:rFonts w:asciiTheme="minorHAnsi" w:hAnsiTheme="minorHAnsi" w:cs="Calibri"/>
          <w:noProof/>
        </w:rPr>
        <w:t>,</w:t>
      </w:r>
      <w:r w:rsidR="00533861" w:rsidRPr="009D280B">
        <w:rPr>
          <w:rFonts w:asciiTheme="minorHAnsi" w:hAnsiTheme="minorHAnsi" w:cs="Calibri"/>
          <w:noProof/>
        </w:rPr>
        <w:t xml:space="preserve"> and other conditions of work experience</w:t>
      </w:r>
      <w:r w:rsidR="007F0200">
        <w:rPr>
          <w:rFonts w:asciiTheme="minorHAnsi" w:hAnsiTheme="minorHAnsi" w:cs="Calibri"/>
          <w:noProof/>
        </w:rPr>
        <w:t>,</w:t>
      </w:r>
      <w:r w:rsidR="00533861" w:rsidRPr="009D280B">
        <w:rPr>
          <w:rFonts w:asciiTheme="minorHAnsi" w:hAnsiTheme="minorHAnsi" w:cs="Calibri"/>
          <w:noProof/>
        </w:rPr>
        <w:t xml:space="preserve"> such as consequences of not adhering to the agreement and a termination clause.</w:t>
      </w:r>
      <w:r w:rsidR="00533861">
        <w:rPr>
          <w:rFonts w:asciiTheme="minorHAnsi" w:hAnsiTheme="minorHAnsi" w:cs="Calibri"/>
        </w:rPr>
        <w:t xml:space="preserve"> </w:t>
      </w:r>
      <w:r w:rsidR="00533861">
        <w:rPr>
          <w:rFonts w:asciiTheme="minorHAnsi" w:eastAsiaTheme="minorHAnsi" w:hAnsiTheme="minorHAnsi" w:cstheme="minorBidi"/>
        </w:rPr>
        <w:t xml:space="preserve">  </w:t>
      </w:r>
    </w:p>
    <w:p w14:paraId="48401CFE" w14:textId="1C0D0A57" w:rsidR="0073083B" w:rsidRDefault="00A94FFA" w:rsidP="00783108">
      <w:pPr>
        <w:spacing w:line="240" w:lineRule="auto"/>
        <w:ind w:left="720"/>
        <w:rPr>
          <w:rFonts w:asciiTheme="minorHAnsi" w:eastAsiaTheme="minorHAnsi" w:hAnsiTheme="minorHAnsi" w:cstheme="minorBidi"/>
        </w:rPr>
      </w:pPr>
      <w:r>
        <w:rPr>
          <w:rFonts w:asciiTheme="minorHAnsi" w:eastAsiaTheme="minorHAnsi" w:hAnsiTheme="minorHAnsi" w:cstheme="minorBidi"/>
        </w:rPr>
        <w:t>A written policy must</w:t>
      </w:r>
      <w:r w:rsidR="00315C90">
        <w:rPr>
          <w:rFonts w:asciiTheme="minorHAnsi" w:eastAsiaTheme="minorHAnsi" w:hAnsiTheme="minorHAnsi" w:cstheme="minorBidi"/>
        </w:rPr>
        <w:t xml:space="preserve"> be developed to</w:t>
      </w:r>
      <w:r>
        <w:rPr>
          <w:rFonts w:asciiTheme="minorHAnsi" w:eastAsiaTheme="minorHAnsi" w:hAnsiTheme="minorHAnsi" w:cstheme="minorBidi"/>
        </w:rPr>
        <w:t xml:space="preserve"> </w:t>
      </w:r>
      <w:r w:rsidR="00315C90">
        <w:rPr>
          <w:rFonts w:asciiTheme="minorHAnsi" w:eastAsiaTheme="minorHAnsi" w:hAnsiTheme="minorHAnsi" w:cstheme="minorBidi"/>
        </w:rPr>
        <w:t xml:space="preserve">include a process for determining compliance with a </w:t>
      </w:r>
      <w:r w:rsidR="00315C90" w:rsidRPr="00F259AF">
        <w:rPr>
          <w:rFonts w:asciiTheme="minorHAnsi" w:eastAsiaTheme="minorHAnsi" w:hAnsiTheme="minorHAnsi" w:cstheme="minorBidi"/>
        </w:rPr>
        <w:t>fully</w:t>
      </w:r>
      <w:r w:rsidR="00F04B91" w:rsidRPr="00F259AF">
        <w:rPr>
          <w:rFonts w:asciiTheme="minorHAnsi" w:eastAsiaTheme="minorHAnsi" w:hAnsiTheme="minorHAnsi" w:cstheme="minorBidi"/>
        </w:rPr>
        <w:t xml:space="preserve"> executed contract</w:t>
      </w:r>
      <w:r w:rsidR="00315C90">
        <w:rPr>
          <w:rFonts w:asciiTheme="minorHAnsi" w:eastAsiaTheme="minorHAnsi" w:hAnsiTheme="minorHAnsi" w:cstheme="minorBidi"/>
        </w:rPr>
        <w:t>.  The policy must require</w:t>
      </w:r>
      <w:r w:rsidR="00F04B91" w:rsidRPr="00F259AF">
        <w:rPr>
          <w:rFonts w:asciiTheme="minorHAnsi" w:eastAsiaTheme="minorHAnsi" w:hAnsiTheme="minorHAnsi" w:cstheme="minorBidi"/>
        </w:rPr>
        <w:t xml:space="preserve"> progress reports</w:t>
      </w:r>
      <w:r w:rsidR="00315C90">
        <w:rPr>
          <w:rFonts w:asciiTheme="minorHAnsi" w:eastAsiaTheme="minorHAnsi" w:hAnsiTheme="minorHAnsi" w:cstheme="minorBidi"/>
        </w:rPr>
        <w:t xml:space="preserve"> and</w:t>
      </w:r>
      <w:r w:rsidR="00F04B91" w:rsidRPr="00F259AF">
        <w:rPr>
          <w:rFonts w:asciiTheme="minorHAnsi" w:eastAsiaTheme="minorHAnsi" w:hAnsiTheme="minorHAnsi" w:cstheme="minorBidi"/>
        </w:rPr>
        <w:t xml:space="preserve"> financial activit</w:t>
      </w:r>
      <w:r w:rsidR="00315C90">
        <w:rPr>
          <w:rFonts w:asciiTheme="minorHAnsi" w:eastAsiaTheme="minorHAnsi" w:hAnsiTheme="minorHAnsi" w:cstheme="minorBidi"/>
        </w:rPr>
        <w:t>y reports.</w:t>
      </w:r>
      <w:r w:rsidR="00F04B91" w:rsidRPr="00F259AF">
        <w:rPr>
          <w:rFonts w:asciiTheme="minorHAnsi" w:eastAsiaTheme="minorHAnsi" w:hAnsiTheme="minorHAnsi" w:cstheme="minorBidi"/>
        </w:rPr>
        <w:t xml:space="preserve"> </w:t>
      </w:r>
      <w:r w:rsidR="00F27A32" w:rsidRPr="00F27A32">
        <w:rPr>
          <w:rFonts w:asciiTheme="minorHAnsi" w:eastAsiaTheme="minorHAnsi" w:hAnsiTheme="minorHAnsi" w:cstheme="minorBidi"/>
        </w:rPr>
        <w:t>The policy must describe the frequency of monitoring and staff responsible for monitoring, and include a monitoring guide, form</w:t>
      </w:r>
      <w:r w:rsidR="006A6849">
        <w:rPr>
          <w:rFonts w:asciiTheme="minorHAnsi" w:eastAsiaTheme="minorHAnsi" w:hAnsiTheme="minorHAnsi" w:cstheme="minorBidi"/>
        </w:rPr>
        <w:t>,</w:t>
      </w:r>
      <w:r w:rsidR="00F27A32" w:rsidRPr="00F27A32">
        <w:rPr>
          <w:rFonts w:asciiTheme="minorHAnsi" w:eastAsiaTheme="minorHAnsi" w:hAnsiTheme="minorHAnsi" w:cstheme="minorBidi"/>
        </w:rPr>
        <w:t xml:space="preserve"> or checklist.</w:t>
      </w:r>
      <w:r w:rsidR="009D2BDF">
        <w:rPr>
          <w:rFonts w:asciiTheme="minorHAnsi" w:eastAsiaTheme="minorHAnsi" w:hAnsiTheme="minorHAnsi" w:cstheme="minorBidi"/>
        </w:rPr>
        <w:t xml:space="preserve"> </w:t>
      </w:r>
    </w:p>
    <w:p w14:paraId="5EA50E8B" w14:textId="77777777" w:rsidR="009D2BDF" w:rsidRDefault="009D2BDF" w:rsidP="00783108">
      <w:pPr>
        <w:spacing w:line="240" w:lineRule="auto"/>
        <w:ind w:left="720"/>
      </w:pPr>
      <w:r>
        <w:t xml:space="preserve">At a minimum, the local </w:t>
      </w:r>
      <w:r w:rsidRPr="009D280B">
        <w:rPr>
          <w:noProof/>
        </w:rPr>
        <w:t>board</w:t>
      </w:r>
      <w:r w:rsidR="009D280B">
        <w:rPr>
          <w:noProof/>
        </w:rPr>
        <w:t>'</w:t>
      </w:r>
      <w:r w:rsidRPr="009D280B">
        <w:rPr>
          <w:noProof/>
        </w:rPr>
        <w:t>s</w:t>
      </w:r>
      <w:r>
        <w:t xml:space="preserve"> </w:t>
      </w:r>
      <w:r w:rsidR="009D280B">
        <w:t xml:space="preserve">policy </w:t>
      </w:r>
      <w:r>
        <w:t xml:space="preserve">must establish the following as defined in </w:t>
      </w:r>
      <w:r w:rsidR="006A6849">
        <w:t xml:space="preserve">the </w:t>
      </w:r>
      <w:r>
        <w:t xml:space="preserve">above section: </w:t>
      </w:r>
    </w:p>
    <w:p w14:paraId="7D2BD544" w14:textId="77777777" w:rsidR="00FA1868" w:rsidRDefault="00D424B2" w:rsidP="0099549C">
      <w:pPr>
        <w:pStyle w:val="ListParagraph"/>
        <w:numPr>
          <w:ilvl w:val="0"/>
          <w:numId w:val="2"/>
        </w:numPr>
      </w:pPr>
      <w:r>
        <w:t>A</w:t>
      </w:r>
      <w:r w:rsidR="00FA1868">
        <w:t xml:space="preserve"> Worksite A</w:t>
      </w:r>
      <w:r w:rsidR="00FA1868" w:rsidRPr="00FA1868">
        <w:t xml:space="preserve">greement contract signed by all parties </w:t>
      </w:r>
      <w:proofErr w:type="gramStart"/>
      <w:r w:rsidR="00FA1868" w:rsidRPr="00FA1868">
        <w:t>involved</w:t>
      </w:r>
      <w:r>
        <w:t>;</w:t>
      </w:r>
      <w:proofErr w:type="gramEnd"/>
      <w:r w:rsidR="00FA1868" w:rsidRPr="00FA1868">
        <w:t xml:space="preserve"> </w:t>
      </w:r>
    </w:p>
    <w:p w14:paraId="15A18BB0" w14:textId="77777777" w:rsidR="009D2BDF" w:rsidRDefault="009D2BDF" w:rsidP="0099549C">
      <w:pPr>
        <w:pStyle w:val="ListParagraph"/>
        <w:numPr>
          <w:ilvl w:val="0"/>
          <w:numId w:val="2"/>
        </w:numPr>
        <w:spacing w:after="160" w:line="240" w:lineRule="auto"/>
      </w:pPr>
      <w:r>
        <w:t xml:space="preserve">The duration of the work experience </w:t>
      </w:r>
      <w:proofErr w:type="gramStart"/>
      <w:r>
        <w:t>assignment;</w:t>
      </w:r>
      <w:proofErr w:type="gramEnd"/>
      <w:r>
        <w:t xml:space="preserve"> </w:t>
      </w:r>
    </w:p>
    <w:p w14:paraId="7178ADAF" w14:textId="77777777" w:rsidR="008226A6" w:rsidRDefault="008226A6" w:rsidP="0099549C">
      <w:pPr>
        <w:pStyle w:val="ListParagraph"/>
        <w:numPr>
          <w:ilvl w:val="0"/>
          <w:numId w:val="2"/>
        </w:numPr>
        <w:spacing w:after="160" w:line="240" w:lineRule="auto"/>
      </w:pPr>
      <w:r>
        <w:t>A</w:t>
      </w:r>
      <w:r w:rsidRPr="008226A6">
        <w:t>cademic and occupational education</w:t>
      </w:r>
      <w:r>
        <w:t xml:space="preserve"> plan in conjunction with WEX </w:t>
      </w:r>
      <w:proofErr w:type="gramStart"/>
      <w:r>
        <w:t>assignment;</w:t>
      </w:r>
      <w:proofErr w:type="gramEnd"/>
    </w:p>
    <w:p w14:paraId="3DAC0F1B" w14:textId="77777777" w:rsidR="009D2BDF" w:rsidRDefault="009D2BDF" w:rsidP="0099549C">
      <w:pPr>
        <w:pStyle w:val="ListParagraph"/>
        <w:numPr>
          <w:ilvl w:val="0"/>
          <w:numId w:val="2"/>
        </w:numPr>
        <w:spacing w:after="160" w:line="240" w:lineRule="auto"/>
      </w:pPr>
      <w:r>
        <w:t xml:space="preserve">Limitations on the number of hours; and </w:t>
      </w:r>
    </w:p>
    <w:p w14:paraId="0CCC5475" w14:textId="63D40641" w:rsidR="009D2BDF" w:rsidRDefault="009D2BDF" w:rsidP="0099549C">
      <w:pPr>
        <w:pStyle w:val="ListParagraph"/>
        <w:numPr>
          <w:ilvl w:val="0"/>
          <w:numId w:val="2"/>
        </w:numPr>
        <w:spacing w:after="160" w:line="240" w:lineRule="auto"/>
      </w:pPr>
      <w:r>
        <w:t>Appropriate incentives and</w:t>
      </w:r>
      <w:r w:rsidR="006A6849">
        <w:t>/or</w:t>
      </w:r>
      <w:r w:rsidR="00805832">
        <w:t xml:space="preserve"> compensation</w:t>
      </w:r>
      <w:r>
        <w:t>, including limitations</w:t>
      </w:r>
      <w:r w:rsidR="00FA1868">
        <w:t xml:space="preserve"> on the types and dollar amount</w:t>
      </w:r>
      <w:r w:rsidR="006841B0">
        <w:t>.</w:t>
      </w:r>
    </w:p>
    <w:p w14:paraId="15D0B139" w14:textId="219AC83A" w:rsidR="009467DC" w:rsidRDefault="00705D79" w:rsidP="00783108">
      <w:pPr>
        <w:spacing w:after="0" w:line="240" w:lineRule="auto"/>
        <w:ind w:left="720"/>
        <w:rPr>
          <w:rFonts w:asciiTheme="minorHAnsi" w:hAnsiTheme="minorHAnsi"/>
        </w:rPr>
      </w:pPr>
      <w:r>
        <w:rPr>
          <w:rFonts w:asciiTheme="minorHAnsi" w:eastAsiaTheme="minorHAnsi" w:hAnsiTheme="minorHAnsi" w:cstheme="minorBidi"/>
        </w:rPr>
        <w:t>State WIOA monitors</w:t>
      </w:r>
      <w:r w:rsidR="00162290" w:rsidRPr="00162290">
        <w:rPr>
          <w:rFonts w:asciiTheme="minorHAnsi" w:eastAsiaTheme="minorHAnsi" w:hAnsiTheme="minorHAnsi" w:cstheme="minorBidi"/>
        </w:rPr>
        <w:t xml:space="preserve"> will review the local area’s use of work experience</w:t>
      </w:r>
      <w:r w:rsidR="00162290">
        <w:rPr>
          <w:rFonts w:asciiTheme="minorHAnsi" w:eastAsiaTheme="minorHAnsi" w:hAnsiTheme="minorHAnsi" w:cstheme="minorBidi"/>
        </w:rPr>
        <w:t xml:space="preserve"> element</w:t>
      </w:r>
      <w:r w:rsidR="00162290" w:rsidRPr="00162290">
        <w:rPr>
          <w:rFonts w:asciiTheme="minorHAnsi" w:eastAsiaTheme="minorHAnsi" w:hAnsiTheme="minorHAnsi" w:cstheme="minorBidi"/>
        </w:rPr>
        <w:t xml:space="preserve"> in the WIOA youth program, including a participant file review, during the annual onsite monitoring review for compliance with federal and state laws and regulations. </w:t>
      </w:r>
      <w:r w:rsidR="00C60C6B" w:rsidRPr="00C60C6B">
        <w:rPr>
          <w:rFonts w:asciiTheme="minorHAnsi" w:hAnsiTheme="minorHAnsi"/>
        </w:rPr>
        <w:t xml:space="preserve"> </w:t>
      </w:r>
    </w:p>
    <w:p w14:paraId="022B8B56" w14:textId="77777777" w:rsidR="00A94FFA" w:rsidRDefault="00A94FFA" w:rsidP="00783108">
      <w:pPr>
        <w:spacing w:after="0" w:line="240" w:lineRule="auto"/>
        <w:rPr>
          <w:b/>
        </w:rPr>
      </w:pPr>
    </w:p>
    <w:p w14:paraId="5B8D1B7C" w14:textId="5D8D29E2" w:rsidR="00705D79" w:rsidRPr="00B03BBF" w:rsidRDefault="00805832" w:rsidP="00783108">
      <w:pPr>
        <w:spacing w:after="0" w:line="240" w:lineRule="auto"/>
        <w:rPr>
          <w:b/>
        </w:rPr>
      </w:pPr>
      <w:r w:rsidRPr="00B03BBF">
        <w:rPr>
          <w:b/>
        </w:rPr>
        <w:t xml:space="preserve">Note: </w:t>
      </w:r>
      <w:r w:rsidRPr="00B03BBF">
        <w:t xml:space="preserve">When compensating youth with wages or stipends for work experiences, local workforce </w:t>
      </w:r>
      <w:r w:rsidR="00C84E13" w:rsidRPr="00B03BBF">
        <w:t>service providers and</w:t>
      </w:r>
      <w:r w:rsidRPr="00B03BBF">
        <w:t xml:space="preserve"> employers of record are expected to adhere to Internal Revenue Service (IRS) guidelines. Understanding the difference between a</w:t>
      </w:r>
      <w:r w:rsidR="00C84E13" w:rsidRPr="00B03BBF">
        <w:t xml:space="preserve">n incentive, </w:t>
      </w:r>
      <w:r w:rsidRPr="00B03BBF">
        <w:t>stipend</w:t>
      </w:r>
      <w:r w:rsidR="00C84E13" w:rsidRPr="00B03BBF">
        <w:t xml:space="preserve">, </w:t>
      </w:r>
      <w:r w:rsidRPr="00B03BBF">
        <w:t xml:space="preserve">and wage has specific implications in relation to IRS deductions. The classification of a participant, specifically the employer-employee relationship, is a key factor used by the IRS to determine whether withholding taxes is applicable. </w:t>
      </w:r>
      <w:r w:rsidR="0093182D" w:rsidRPr="00B03BBF">
        <w:t xml:space="preserve"> Consult the local jurisdiction serving as the WIOA Title I Grant Recipient</w:t>
      </w:r>
      <w:r w:rsidR="00C84E13" w:rsidRPr="00B03BBF">
        <w:t>.</w:t>
      </w:r>
    </w:p>
    <w:p w14:paraId="4F645B8F" w14:textId="77777777" w:rsidR="00152C98" w:rsidRDefault="00152C98" w:rsidP="00783108">
      <w:pPr>
        <w:spacing w:after="0" w:line="240" w:lineRule="auto"/>
        <w:rPr>
          <w:b/>
        </w:rPr>
      </w:pPr>
    </w:p>
    <w:p w14:paraId="581962ED" w14:textId="77777777" w:rsidR="00D823E2" w:rsidRPr="005B5371" w:rsidRDefault="00D823E2" w:rsidP="00783108">
      <w:pPr>
        <w:spacing w:after="0" w:line="240" w:lineRule="auto"/>
        <w:rPr>
          <w:b/>
        </w:rPr>
      </w:pPr>
      <w:r w:rsidRPr="005B5371">
        <w:rPr>
          <w:b/>
        </w:rPr>
        <w:t xml:space="preserve">ACTION REQUIRED: </w:t>
      </w:r>
    </w:p>
    <w:p w14:paraId="60F5001A" w14:textId="77777777" w:rsidR="00D823E2" w:rsidRPr="00D823E2" w:rsidRDefault="00D823E2" w:rsidP="00783108">
      <w:pPr>
        <w:spacing w:after="0" w:line="240" w:lineRule="auto"/>
        <w:rPr>
          <w:highlight w:val="yellow"/>
        </w:rPr>
      </w:pPr>
      <w:r w:rsidRPr="00D823E2">
        <w:rPr>
          <w:highlight w:val="yellow"/>
        </w:rPr>
        <w:t xml:space="preserve"> </w:t>
      </w:r>
    </w:p>
    <w:p w14:paraId="3211D5C4" w14:textId="77777777" w:rsidR="00233D10" w:rsidRPr="00233D10" w:rsidRDefault="00233D10" w:rsidP="00783108">
      <w:pPr>
        <w:spacing w:after="0" w:line="240" w:lineRule="auto"/>
      </w:pPr>
      <w:r w:rsidRPr="00233D10">
        <w:t xml:space="preserve">Upon issuance bring this guidance to the attention of all WIOA service providers, LWDB Board </w:t>
      </w:r>
      <w:r w:rsidRPr="009D280B">
        <w:rPr>
          <w:noProof/>
        </w:rPr>
        <w:t>members</w:t>
      </w:r>
      <w:r w:rsidR="009D280B">
        <w:rPr>
          <w:noProof/>
        </w:rPr>
        <w:t>,</w:t>
      </w:r>
      <w:r w:rsidRPr="00233D10">
        <w:t xml:space="preserve"> and any other concerned parties. Any local boards’ policies, procedures, and</w:t>
      </w:r>
      <w:r w:rsidR="00D424B2">
        <w:t>/</w:t>
      </w:r>
      <w:r w:rsidRPr="00233D10">
        <w:t xml:space="preserve">or contracts affected by this guidance are required to be updated accordingly.  </w:t>
      </w:r>
    </w:p>
    <w:p w14:paraId="71427E64" w14:textId="77777777" w:rsidR="00D823E2" w:rsidRPr="00233D10" w:rsidRDefault="00D823E2" w:rsidP="00783108">
      <w:pPr>
        <w:spacing w:after="0" w:line="240" w:lineRule="auto"/>
      </w:pPr>
    </w:p>
    <w:p w14:paraId="1EF7B964" w14:textId="77777777" w:rsidR="00152C98" w:rsidRDefault="00152C98" w:rsidP="00783108">
      <w:pPr>
        <w:spacing w:after="0" w:line="240" w:lineRule="auto"/>
        <w:rPr>
          <w:b/>
        </w:rPr>
      </w:pPr>
    </w:p>
    <w:p w14:paraId="208FFCEF" w14:textId="77777777" w:rsidR="00D823E2" w:rsidRPr="005B5371" w:rsidRDefault="00D823E2" w:rsidP="00783108">
      <w:pPr>
        <w:spacing w:after="0" w:line="240" w:lineRule="auto"/>
      </w:pPr>
      <w:r w:rsidRPr="005B5371">
        <w:rPr>
          <w:b/>
        </w:rPr>
        <w:t>INQUIRIES:</w:t>
      </w:r>
      <w:r w:rsidRPr="005B5371">
        <w:t xml:space="preserve"> </w:t>
      </w:r>
    </w:p>
    <w:p w14:paraId="4EE71ADD" w14:textId="77777777" w:rsidR="005B5371" w:rsidRDefault="00D823E2" w:rsidP="00783108">
      <w:pPr>
        <w:spacing w:after="0" w:line="240" w:lineRule="auto"/>
      </w:pPr>
      <w:r w:rsidRPr="00D823E2">
        <w:rPr>
          <w:highlight w:val="yellow"/>
        </w:rPr>
        <w:t xml:space="preserve"> </w:t>
      </w:r>
    </w:p>
    <w:p w14:paraId="12FE796A" w14:textId="77777777" w:rsidR="0028374B" w:rsidRDefault="0028374B" w:rsidP="0028374B">
      <w:pPr>
        <w:autoSpaceDE w:val="0"/>
        <w:autoSpaceDN w:val="0"/>
        <w:adjustRightInd w:val="0"/>
        <w:spacing w:after="0" w:line="240" w:lineRule="auto"/>
      </w:pPr>
      <w:r>
        <w:t xml:space="preserve">Please submit inquiries regarding this VWL </w:t>
      </w:r>
      <w:r w:rsidRPr="009D280B">
        <w:rPr>
          <w:noProof/>
        </w:rPr>
        <w:t>to</w:t>
      </w:r>
      <w:r>
        <w:t xml:space="preserve"> </w:t>
      </w:r>
      <w:hyperlink r:id="rId10" w:history="1">
        <w:r w:rsidRPr="00A75E64">
          <w:rPr>
            <w:rStyle w:val="Hyperlink"/>
          </w:rPr>
          <w:t>WIOA@vccs.edu</w:t>
        </w:r>
      </w:hyperlink>
    </w:p>
    <w:p w14:paraId="478484EA" w14:textId="77777777" w:rsidR="0028374B" w:rsidRDefault="0028374B" w:rsidP="0028374B">
      <w:pPr>
        <w:autoSpaceDE w:val="0"/>
        <w:autoSpaceDN w:val="0"/>
        <w:adjustRightInd w:val="0"/>
        <w:spacing w:after="0" w:line="240" w:lineRule="auto"/>
      </w:pPr>
    </w:p>
    <w:p w14:paraId="41EBE1B2" w14:textId="77777777" w:rsidR="0028374B" w:rsidRDefault="0028374B" w:rsidP="0028374B">
      <w:pPr>
        <w:autoSpaceDE w:val="0"/>
        <w:autoSpaceDN w:val="0"/>
        <w:adjustRightInd w:val="0"/>
        <w:spacing w:after="0" w:line="240" w:lineRule="auto"/>
      </w:pPr>
      <w:r>
        <w:t xml:space="preserve">Virginia Community College System </w:t>
      </w:r>
    </w:p>
    <w:p w14:paraId="113E3798" w14:textId="77777777" w:rsidR="0028374B" w:rsidRDefault="0028374B" w:rsidP="0028374B">
      <w:pPr>
        <w:autoSpaceDE w:val="0"/>
        <w:autoSpaceDN w:val="0"/>
        <w:adjustRightInd w:val="0"/>
        <w:spacing w:after="0" w:line="240" w:lineRule="auto"/>
      </w:pPr>
      <w:r>
        <w:lastRenderedPageBreak/>
        <w:t>WIOA Youth Programs Coordinator</w:t>
      </w:r>
    </w:p>
    <w:p w14:paraId="1AE7721A" w14:textId="77777777" w:rsidR="0028374B" w:rsidRDefault="0028374B" w:rsidP="0028374B">
      <w:pPr>
        <w:autoSpaceDE w:val="0"/>
        <w:autoSpaceDN w:val="0"/>
        <w:adjustRightInd w:val="0"/>
        <w:spacing w:after="0" w:line="240" w:lineRule="auto"/>
      </w:pPr>
      <w:r>
        <w:t xml:space="preserve">Workforce Development Services </w:t>
      </w:r>
    </w:p>
    <w:p w14:paraId="3C11058B" w14:textId="77777777" w:rsidR="0028374B" w:rsidRDefault="0028374B" w:rsidP="0028374B">
      <w:pPr>
        <w:autoSpaceDE w:val="0"/>
        <w:autoSpaceDN w:val="0"/>
        <w:adjustRightInd w:val="0"/>
        <w:spacing w:after="0" w:line="240" w:lineRule="auto"/>
      </w:pPr>
      <w:r>
        <w:t>300 Arboretum Place, Suite 200</w:t>
      </w:r>
    </w:p>
    <w:p w14:paraId="740E84E1" w14:textId="77777777" w:rsidR="0028374B" w:rsidRDefault="0028374B" w:rsidP="0028374B">
      <w:pPr>
        <w:autoSpaceDE w:val="0"/>
        <w:autoSpaceDN w:val="0"/>
        <w:adjustRightInd w:val="0"/>
        <w:spacing w:after="0" w:line="240" w:lineRule="auto"/>
      </w:pPr>
      <w:r>
        <w:t>Richmond, VA 23236</w:t>
      </w:r>
    </w:p>
    <w:p w14:paraId="6C0C8E57" w14:textId="77777777" w:rsidR="0028374B" w:rsidRDefault="0028374B" w:rsidP="0028374B">
      <w:pPr>
        <w:autoSpaceDE w:val="0"/>
        <w:autoSpaceDN w:val="0"/>
        <w:adjustRightInd w:val="0"/>
        <w:spacing w:after="0" w:line="240" w:lineRule="auto"/>
      </w:pPr>
      <w:r>
        <w:t>Phone: 804-819-1686</w:t>
      </w:r>
    </w:p>
    <w:p w14:paraId="38BDA14F" w14:textId="77777777" w:rsidR="0028374B" w:rsidRDefault="0028374B" w:rsidP="0028374B">
      <w:pPr>
        <w:autoSpaceDE w:val="0"/>
        <w:autoSpaceDN w:val="0"/>
        <w:adjustRightInd w:val="0"/>
        <w:spacing w:after="0" w:line="240" w:lineRule="auto"/>
      </w:pPr>
      <w:r>
        <w:t>Fax: 804-819-1699</w:t>
      </w:r>
    </w:p>
    <w:p w14:paraId="5DE2175C" w14:textId="77777777" w:rsidR="002B4385" w:rsidRDefault="00ED3999" w:rsidP="0028374B">
      <w:pPr>
        <w:autoSpaceDE w:val="0"/>
        <w:autoSpaceDN w:val="0"/>
        <w:adjustRightInd w:val="0"/>
        <w:spacing w:after="0" w:line="240" w:lineRule="auto"/>
      </w:pPr>
      <w:hyperlink r:id="rId11" w:history="1">
        <w:r w:rsidR="00FD7A8D" w:rsidRPr="000832A3">
          <w:rPr>
            <w:rStyle w:val="Hyperlink"/>
          </w:rPr>
          <w:t>www.vccs.edu/workforce</w:t>
        </w:r>
      </w:hyperlink>
    </w:p>
    <w:p w14:paraId="45A6FF16" w14:textId="77777777" w:rsidR="00FD7A8D" w:rsidRPr="002B4385" w:rsidRDefault="00FD7A8D" w:rsidP="0028374B">
      <w:pPr>
        <w:autoSpaceDE w:val="0"/>
        <w:autoSpaceDN w:val="0"/>
        <w:adjustRightInd w:val="0"/>
        <w:spacing w:after="0" w:line="240" w:lineRule="auto"/>
        <w:rPr>
          <w:rFonts w:asciiTheme="minorHAnsi" w:hAnsiTheme="minorHAnsi" w:cs="Calibri"/>
          <w:b/>
        </w:rPr>
      </w:pPr>
    </w:p>
    <w:sectPr w:rsidR="00FD7A8D" w:rsidRPr="002B4385" w:rsidSect="0044143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8F72" w14:textId="77777777" w:rsidR="002F00C3" w:rsidRDefault="002F00C3" w:rsidP="008D483A">
      <w:pPr>
        <w:spacing w:after="0" w:line="240" w:lineRule="auto"/>
      </w:pPr>
      <w:r>
        <w:separator/>
      </w:r>
    </w:p>
  </w:endnote>
  <w:endnote w:type="continuationSeparator" w:id="0">
    <w:p w14:paraId="1D3D860E" w14:textId="77777777" w:rsidR="002F00C3" w:rsidRDefault="002F00C3" w:rsidP="008D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667667"/>
      <w:docPartObj>
        <w:docPartGallery w:val="Page Numbers (Bottom of Page)"/>
        <w:docPartUnique/>
      </w:docPartObj>
    </w:sdtPr>
    <w:sdtEndPr>
      <w:rPr>
        <w:noProof/>
      </w:rPr>
    </w:sdtEndPr>
    <w:sdtContent>
      <w:p w14:paraId="7EC443EF" w14:textId="3EBAB244" w:rsidR="006E6187" w:rsidRDefault="006E6187">
        <w:pPr>
          <w:pStyle w:val="Footer"/>
          <w:jc w:val="center"/>
        </w:pPr>
        <w:r>
          <w:fldChar w:fldCharType="begin"/>
        </w:r>
        <w:r>
          <w:instrText xml:space="preserve"> PAGE   \* MERGEFORMAT </w:instrText>
        </w:r>
        <w:r>
          <w:fldChar w:fldCharType="separate"/>
        </w:r>
        <w:r w:rsidR="00EC6ADB">
          <w:rPr>
            <w:noProof/>
          </w:rPr>
          <w:t>1</w:t>
        </w:r>
        <w:r>
          <w:rPr>
            <w:noProof/>
          </w:rPr>
          <w:fldChar w:fldCharType="end"/>
        </w:r>
      </w:p>
    </w:sdtContent>
  </w:sdt>
  <w:p w14:paraId="4A6F34FD" w14:textId="77777777" w:rsidR="006E6187" w:rsidRDefault="006E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2FDC" w14:textId="77777777" w:rsidR="002F00C3" w:rsidRDefault="002F00C3" w:rsidP="008D483A">
      <w:pPr>
        <w:spacing w:after="0" w:line="240" w:lineRule="auto"/>
      </w:pPr>
      <w:r>
        <w:separator/>
      </w:r>
    </w:p>
  </w:footnote>
  <w:footnote w:type="continuationSeparator" w:id="0">
    <w:p w14:paraId="4DE14624" w14:textId="77777777" w:rsidR="002F00C3" w:rsidRDefault="002F00C3" w:rsidP="008D4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4B8E"/>
    <w:multiLevelType w:val="hybridMultilevel"/>
    <w:tmpl w:val="7CE60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8C0FC4"/>
    <w:multiLevelType w:val="hybridMultilevel"/>
    <w:tmpl w:val="20326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AD10AA"/>
    <w:multiLevelType w:val="hybridMultilevel"/>
    <w:tmpl w:val="14C2BF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42234">
    <w:abstractNumId w:val="2"/>
  </w:num>
  <w:num w:numId="2" w16cid:durableId="1860700134">
    <w:abstractNumId w:val="0"/>
  </w:num>
  <w:num w:numId="3" w16cid:durableId="2818890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I0MzcwNbCwMDUzMTRQ0lEKTi0uzszPAykwrgUA7DcItCwAAAA="/>
  </w:docVars>
  <w:rsids>
    <w:rsidRoot w:val="00C346AD"/>
    <w:rsid w:val="00004179"/>
    <w:rsid w:val="00004337"/>
    <w:rsid w:val="000064DC"/>
    <w:rsid w:val="000113C8"/>
    <w:rsid w:val="00017768"/>
    <w:rsid w:val="0002160A"/>
    <w:rsid w:val="00023C17"/>
    <w:rsid w:val="00027927"/>
    <w:rsid w:val="0003207B"/>
    <w:rsid w:val="000324A6"/>
    <w:rsid w:val="00034CCA"/>
    <w:rsid w:val="00035759"/>
    <w:rsid w:val="00035CD6"/>
    <w:rsid w:val="0004165E"/>
    <w:rsid w:val="000417C3"/>
    <w:rsid w:val="00042182"/>
    <w:rsid w:val="00047A45"/>
    <w:rsid w:val="000658F0"/>
    <w:rsid w:val="0007037A"/>
    <w:rsid w:val="00075661"/>
    <w:rsid w:val="0008548B"/>
    <w:rsid w:val="00085518"/>
    <w:rsid w:val="000902CF"/>
    <w:rsid w:val="00092B68"/>
    <w:rsid w:val="000A2EC9"/>
    <w:rsid w:val="000A4191"/>
    <w:rsid w:val="000B115C"/>
    <w:rsid w:val="000B316D"/>
    <w:rsid w:val="000C7657"/>
    <w:rsid w:val="000D1186"/>
    <w:rsid w:val="000E064D"/>
    <w:rsid w:val="000E1721"/>
    <w:rsid w:val="000E275C"/>
    <w:rsid w:val="000E50E0"/>
    <w:rsid w:val="000E5A21"/>
    <w:rsid w:val="000E7C9A"/>
    <w:rsid w:val="000F2249"/>
    <w:rsid w:val="000F75E8"/>
    <w:rsid w:val="00100F88"/>
    <w:rsid w:val="0010234C"/>
    <w:rsid w:val="00103DB5"/>
    <w:rsid w:val="0011036E"/>
    <w:rsid w:val="00112F95"/>
    <w:rsid w:val="00114ABC"/>
    <w:rsid w:val="001165FE"/>
    <w:rsid w:val="00117EF2"/>
    <w:rsid w:val="001205C1"/>
    <w:rsid w:val="001206EE"/>
    <w:rsid w:val="001209C1"/>
    <w:rsid w:val="00122E14"/>
    <w:rsid w:val="00124F8D"/>
    <w:rsid w:val="00125E91"/>
    <w:rsid w:val="00134879"/>
    <w:rsid w:val="00134FC1"/>
    <w:rsid w:val="00135003"/>
    <w:rsid w:val="00152C98"/>
    <w:rsid w:val="00153546"/>
    <w:rsid w:val="00153A93"/>
    <w:rsid w:val="00153CC3"/>
    <w:rsid w:val="001541E6"/>
    <w:rsid w:val="0015584A"/>
    <w:rsid w:val="00157CBB"/>
    <w:rsid w:val="00162290"/>
    <w:rsid w:val="001624A3"/>
    <w:rsid w:val="001631A2"/>
    <w:rsid w:val="0016697A"/>
    <w:rsid w:val="00166A0B"/>
    <w:rsid w:val="0016704A"/>
    <w:rsid w:val="00172B29"/>
    <w:rsid w:val="00176DBF"/>
    <w:rsid w:val="00180DCE"/>
    <w:rsid w:val="00185651"/>
    <w:rsid w:val="00187648"/>
    <w:rsid w:val="0019402D"/>
    <w:rsid w:val="001970EA"/>
    <w:rsid w:val="001A0031"/>
    <w:rsid w:val="001A0467"/>
    <w:rsid w:val="001A15CA"/>
    <w:rsid w:val="001A17AB"/>
    <w:rsid w:val="001A2C45"/>
    <w:rsid w:val="001A4E1D"/>
    <w:rsid w:val="001B0ECC"/>
    <w:rsid w:val="001B7046"/>
    <w:rsid w:val="001C2729"/>
    <w:rsid w:val="001C5AB0"/>
    <w:rsid w:val="001D620A"/>
    <w:rsid w:val="001D6CF1"/>
    <w:rsid w:val="001E4CFC"/>
    <w:rsid w:val="001F25CA"/>
    <w:rsid w:val="001F37C9"/>
    <w:rsid w:val="001F6CE8"/>
    <w:rsid w:val="001F6E2F"/>
    <w:rsid w:val="00201AF3"/>
    <w:rsid w:val="0020594F"/>
    <w:rsid w:val="00210212"/>
    <w:rsid w:val="00212906"/>
    <w:rsid w:val="00230EED"/>
    <w:rsid w:val="00231E06"/>
    <w:rsid w:val="00232B3D"/>
    <w:rsid w:val="00233D10"/>
    <w:rsid w:val="0023419C"/>
    <w:rsid w:val="0023466F"/>
    <w:rsid w:val="00236ACF"/>
    <w:rsid w:val="00242186"/>
    <w:rsid w:val="00242D50"/>
    <w:rsid w:val="00243122"/>
    <w:rsid w:val="002458BA"/>
    <w:rsid w:val="002468F3"/>
    <w:rsid w:val="00262A62"/>
    <w:rsid w:val="00263C81"/>
    <w:rsid w:val="002714C2"/>
    <w:rsid w:val="00274D93"/>
    <w:rsid w:val="002759A5"/>
    <w:rsid w:val="00281A1D"/>
    <w:rsid w:val="0028374B"/>
    <w:rsid w:val="00283E26"/>
    <w:rsid w:val="00286B91"/>
    <w:rsid w:val="00293496"/>
    <w:rsid w:val="002973F1"/>
    <w:rsid w:val="00297678"/>
    <w:rsid w:val="002A11F6"/>
    <w:rsid w:val="002A16B5"/>
    <w:rsid w:val="002A36D9"/>
    <w:rsid w:val="002A3911"/>
    <w:rsid w:val="002B20F8"/>
    <w:rsid w:val="002B4385"/>
    <w:rsid w:val="002C0D77"/>
    <w:rsid w:val="002C152E"/>
    <w:rsid w:val="002D3842"/>
    <w:rsid w:val="002D3E7A"/>
    <w:rsid w:val="002D5F69"/>
    <w:rsid w:val="002E0BEF"/>
    <w:rsid w:val="002E57EE"/>
    <w:rsid w:val="002E7CAF"/>
    <w:rsid w:val="002E7E24"/>
    <w:rsid w:val="002F00C3"/>
    <w:rsid w:val="002F0A4E"/>
    <w:rsid w:val="002F2970"/>
    <w:rsid w:val="002F56A2"/>
    <w:rsid w:val="00303B50"/>
    <w:rsid w:val="00304675"/>
    <w:rsid w:val="00305CD4"/>
    <w:rsid w:val="00306FE4"/>
    <w:rsid w:val="00310762"/>
    <w:rsid w:val="00313392"/>
    <w:rsid w:val="00315C90"/>
    <w:rsid w:val="00317138"/>
    <w:rsid w:val="003203EB"/>
    <w:rsid w:val="003232D9"/>
    <w:rsid w:val="00325F36"/>
    <w:rsid w:val="003338C7"/>
    <w:rsid w:val="00336B6E"/>
    <w:rsid w:val="003412B3"/>
    <w:rsid w:val="00345FD8"/>
    <w:rsid w:val="00352F47"/>
    <w:rsid w:val="00364C1D"/>
    <w:rsid w:val="0036608D"/>
    <w:rsid w:val="003663C9"/>
    <w:rsid w:val="00366A7A"/>
    <w:rsid w:val="003678DB"/>
    <w:rsid w:val="0037232F"/>
    <w:rsid w:val="00372C6F"/>
    <w:rsid w:val="003749CF"/>
    <w:rsid w:val="00380DB9"/>
    <w:rsid w:val="003821EC"/>
    <w:rsid w:val="00382F94"/>
    <w:rsid w:val="00384258"/>
    <w:rsid w:val="003857D0"/>
    <w:rsid w:val="003921B2"/>
    <w:rsid w:val="00392CD7"/>
    <w:rsid w:val="00394A52"/>
    <w:rsid w:val="00395699"/>
    <w:rsid w:val="003A07DA"/>
    <w:rsid w:val="003A161A"/>
    <w:rsid w:val="003A5D4B"/>
    <w:rsid w:val="003B3505"/>
    <w:rsid w:val="003C017D"/>
    <w:rsid w:val="003C1F4A"/>
    <w:rsid w:val="003C1FDC"/>
    <w:rsid w:val="003C49F4"/>
    <w:rsid w:val="003D28CA"/>
    <w:rsid w:val="003D33F8"/>
    <w:rsid w:val="003D378C"/>
    <w:rsid w:val="003D4A5D"/>
    <w:rsid w:val="003E6C99"/>
    <w:rsid w:val="003F0324"/>
    <w:rsid w:val="003F21E5"/>
    <w:rsid w:val="003F430D"/>
    <w:rsid w:val="003F5D48"/>
    <w:rsid w:val="0040031F"/>
    <w:rsid w:val="00402581"/>
    <w:rsid w:val="00404063"/>
    <w:rsid w:val="00404D1E"/>
    <w:rsid w:val="00410162"/>
    <w:rsid w:val="00411C32"/>
    <w:rsid w:val="00417359"/>
    <w:rsid w:val="00417E9B"/>
    <w:rsid w:val="00423690"/>
    <w:rsid w:val="004312E0"/>
    <w:rsid w:val="00432ABC"/>
    <w:rsid w:val="0043412A"/>
    <w:rsid w:val="004346D8"/>
    <w:rsid w:val="00435668"/>
    <w:rsid w:val="00440895"/>
    <w:rsid w:val="00441433"/>
    <w:rsid w:val="00446264"/>
    <w:rsid w:val="00450EAB"/>
    <w:rsid w:val="00460360"/>
    <w:rsid w:val="0046075D"/>
    <w:rsid w:val="004638BF"/>
    <w:rsid w:val="0047016C"/>
    <w:rsid w:val="0047156B"/>
    <w:rsid w:val="00473B51"/>
    <w:rsid w:val="0047508D"/>
    <w:rsid w:val="00475290"/>
    <w:rsid w:val="0047711C"/>
    <w:rsid w:val="004854C0"/>
    <w:rsid w:val="004875E8"/>
    <w:rsid w:val="00487915"/>
    <w:rsid w:val="0049042D"/>
    <w:rsid w:val="00491963"/>
    <w:rsid w:val="004935DD"/>
    <w:rsid w:val="00497AE7"/>
    <w:rsid w:val="004A3B4B"/>
    <w:rsid w:val="004A423E"/>
    <w:rsid w:val="004B24A4"/>
    <w:rsid w:val="004B5AFB"/>
    <w:rsid w:val="004C039F"/>
    <w:rsid w:val="004C2146"/>
    <w:rsid w:val="004C216F"/>
    <w:rsid w:val="004C2DAB"/>
    <w:rsid w:val="004C3D63"/>
    <w:rsid w:val="004D1972"/>
    <w:rsid w:val="004D1C1A"/>
    <w:rsid w:val="004E54DE"/>
    <w:rsid w:val="004E577F"/>
    <w:rsid w:val="004F1C45"/>
    <w:rsid w:val="004F4BF4"/>
    <w:rsid w:val="0050049A"/>
    <w:rsid w:val="0051463D"/>
    <w:rsid w:val="00515448"/>
    <w:rsid w:val="0051600E"/>
    <w:rsid w:val="00524885"/>
    <w:rsid w:val="00532E7A"/>
    <w:rsid w:val="0053343B"/>
    <w:rsid w:val="00533861"/>
    <w:rsid w:val="005414D7"/>
    <w:rsid w:val="0054155A"/>
    <w:rsid w:val="005442FE"/>
    <w:rsid w:val="0055044C"/>
    <w:rsid w:val="005539AE"/>
    <w:rsid w:val="00554025"/>
    <w:rsid w:val="005577D2"/>
    <w:rsid w:val="00557ED3"/>
    <w:rsid w:val="0056350D"/>
    <w:rsid w:val="00573FF8"/>
    <w:rsid w:val="00575E7F"/>
    <w:rsid w:val="005924DB"/>
    <w:rsid w:val="00594FCA"/>
    <w:rsid w:val="005964DC"/>
    <w:rsid w:val="005A15F1"/>
    <w:rsid w:val="005A1902"/>
    <w:rsid w:val="005A2014"/>
    <w:rsid w:val="005A4030"/>
    <w:rsid w:val="005B0597"/>
    <w:rsid w:val="005B1D57"/>
    <w:rsid w:val="005B1F3F"/>
    <w:rsid w:val="005B5371"/>
    <w:rsid w:val="005C1026"/>
    <w:rsid w:val="005C43EA"/>
    <w:rsid w:val="005C5108"/>
    <w:rsid w:val="005C598B"/>
    <w:rsid w:val="005C667A"/>
    <w:rsid w:val="005D26DD"/>
    <w:rsid w:val="005E0129"/>
    <w:rsid w:val="005E0726"/>
    <w:rsid w:val="005E1D38"/>
    <w:rsid w:val="005E3D8F"/>
    <w:rsid w:val="005E56AF"/>
    <w:rsid w:val="005E5DC3"/>
    <w:rsid w:val="005E61F2"/>
    <w:rsid w:val="005E64AE"/>
    <w:rsid w:val="005F10C3"/>
    <w:rsid w:val="005F79C6"/>
    <w:rsid w:val="005F7F5D"/>
    <w:rsid w:val="0060517D"/>
    <w:rsid w:val="006054B8"/>
    <w:rsid w:val="006170AB"/>
    <w:rsid w:val="00620E05"/>
    <w:rsid w:val="0062159A"/>
    <w:rsid w:val="00621767"/>
    <w:rsid w:val="00621FF0"/>
    <w:rsid w:val="006232C4"/>
    <w:rsid w:val="00625760"/>
    <w:rsid w:val="00630285"/>
    <w:rsid w:val="006325D7"/>
    <w:rsid w:val="006325F8"/>
    <w:rsid w:val="006335E9"/>
    <w:rsid w:val="00634E46"/>
    <w:rsid w:val="00635751"/>
    <w:rsid w:val="00635BF4"/>
    <w:rsid w:val="0063768C"/>
    <w:rsid w:val="00643D71"/>
    <w:rsid w:val="00652A05"/>
    <w:rsid w:val="00654321"/>
    <w:rsid w:val="00657336"/>
    <w:rsid w:val="00657B8D"/>
    <w:rsid w:val="00660F9B"/>
    <w:rsid w:val="00666A28"/>
    <w:rsid w:val="00676BEE"/>
    <w:rsid w:val="006841B0"/>
    <w:rsid w:val="006919AF"/>
    <w:rsid w:val="00696594"/>
    <w:rsid w:val="006A2AF6"/>
    <w:rsid w:val="006A3F99"/>
    <w:rsid w:val="006A60A7"/>
    <w:rsid w:val="006A6849"/>
    <w:rsid w:val="006A6B58"/>
    <w:rsid w:val="006B07A2"/>
    <w:rsid w:val="006B2077"/>
    <w:rsid w:val="006C649F"/>
    <w:rsid w:val="006C79D8"/>
    <w:rsid w:val="006D2A71"/>
    <w:rsid w:val="006E6187"/>
    <w:rsid w:val="006F0AAE"/>
    <w:rsid w:val="006F551D"/>
    <w:rsid w:val="006F5B8B"/>
    <w:rsid w:val="006F7C53"/>
    <w:rsid w:val="007007CD"/>
    <w:rsid w:val="00703E9F"/>
    <w:rsid w:val="00705D79"/>
    <w:rsid w:val="0070680F"/>
    <w:rsid w:val="00707422"/>
    <w:rsid w:val="0071112A"/>
    <w:rsid w:val="00711779"/>
    <w:rsid w:val="00722377"/>
    <w:rsid w:val="00723404"/>
    <w:rsid w:val="00724308"/>
    <w:rsid w:val="0072632E"/>
    <w:rsid w:val="0073083B"/>
    <w:rsid w:val="00731B18"/>
    <w:rsid w:val="0073696B"/>
    <w:rsid w:val="007379B2"/>
    <w:rsid w:val="00752288"/>
    <w:rsid w:val="00755373"/>
    <w:rsid w:val="00756956"/>
    <w:rsid w:val="0076389C"/>
    <w:rsid w:val="007709D4"/>
    <w:rsid w:val="00780026"/>
    <w:rsid w:val="00782A5F"/>
    <w:rsid w:val="00783108"/>
    <w:rsid w:val="00784177"/>
    <w:rsid w:val="0078516B"/>
    <w:rsid w:val="007877DE"/>
    <w:rsid w:val="00795ED2"/>
    <w:rsid w:val="00796F41"/>
    <w:rsid w:val="007A3255"/>
    <w:rsid w:val="007A4E70"/>
    <w:rsid w:val="007A710C"/>
    <w:rsid w:val="007B6DC9"/>
    <w:rsid w:val="007C4E76"/>
    <w:rsid w:val="007D1594"/>
    <w:rsid w:val="007E32AD"/>
    <w:rsid w:val="007E5CD5"/>
    <w:rsid w:val="007F0200"/>
    <w:rsid w:val="007F12DA"/>
    <w:rsid w:val="007F44D9"/>
    <w:rsid w:val="008014EE"/>
    <w:rsid w:val="00805832"/>
    <w:rsid w:val="00805D22"/>
    <w:rsid w:val="00806B9D"/>
    <w:rsid w:val="00813418"/>
    <w:rsid w:val="00817A4C"/>
    <w:rsid w:val="008226A6"/>
    <w:rsid w:val="00825BFA"/>
    <w:rsid w:val="00826BCB"/>
    <w:rsid w:val="008301DC"/>
    <w:rsid w:val="00835D35"/>
    <w:rsid w:val="008373F8"/>
    <w:rsid w:val="00845A09"/>
    <w:rsid w:val="0084607E"/>
    <w:rsid w:val="00846372"/>
    <w:rsid w:val="008479C3"/>
    <w:rsid w:val="00847BAE"/>
    <w:rsid w:val="0085188A"/>
    <w:rsid w:val="00851BE0"/>
    <w:rsid w:val="00851DA6"/>
    <w:rsid w:val="00851DEC"/>
    <w:rsid w:val="00855B35"/>
    <w:rsid w:val="00857BC7"/>
    <w:rsid w:val="008668DF"/>
    <w:rsid w:val="00874FA5"/>
    <w:rsid w:val="0087587E"/>
    <w:rsid w:val="008813F5"/>
    <w:rsid w:val="00883157"/>
    <w:rsid w:val="00884964"/>
    <w:rsid w:val="0088523C"/>
    <w:rsid w:val="00886A5B"/>
    <w:rsid w:val="00886D4F"/>
    <w:rsid w:val="008926FF"/>
    <w:rsid w:val="008B6F6E"/>
    <w:rsid w:val="008C7516"/>
    <w:rsid w:val="008D02FA"/>
    <w:rsid w:val="008D0ED3"/>
    <w:rsid w:val="008D41B7"/>
    <w:rsid w:val="008D483A"/>
    <w:rsid w:val="008D5229"/>
    <w:rsid w:val="008E221C"/>
    <w:rsid w:val="008F1F54"/>
    <w:rsid w:val="008F2EC0"/>
    <w:rsid w:val="008F3851"/>
    <w:rsid w:val="008F6E20"/>
    <w:rsid w:val="00905AFB"/>
    <w:rsid w:val="00912B1D"/>
    <w:rsid w:val="00914EEF"/>
    <w:rsid w:val="009177C5"/>
    <w:rsid w:val="00920BE2"/>
    <w:rsid w:val="009219C6"/>
    <w:rsid w:val="0093021B"/>
    <w:rsid w:val="00931244"/>
    <w:rsid w:val="0093182D"/>
    <w:rsid w:val="00932B43"/>
    <w:rsid w:val="00933C06"/>
    <w:rsid w:val="009345D3"/>
    <w:rsid w:val="009400AA"/>
    <w:rsid w:val="0094013B"/>
    <w:rsid w:val="009437E6"/>
    <w:rsid w:val="00943E65"/>
    <w:rsid w:val="00945A40"/>
    <w:rsid w:val="009467DC"/>
    <w:rsid w:val="009511F4"/>
    <w:rsid w:val="009663A8"/>
    <w:rsid w:val="009677F9"/>
    <w:rsid w:val="00967D94"/>
    <w:rsid w:val="00972DB5"/>
    <w:rsid w:val="0097325B"/>
    <w:rsid w:val="0097355A"/>
    <w:rsid w:val="00973AD3"/>
    <w:rsid w:val="00976400"/>
    <w:rsid w:val="00984710"/>
    <w:rsid w:val="00985989"/>
    <w:rsid w:val="009859A0"/>
    <w:rsid w:val="009934D6"/>
    <w:rsid w:val="009939C0"/>
    <w:rsid w:val="0099549C"/>
    <w:rsid w:val="009A17AB"/>
    <w:rsid w:val="009A262A"/>
    <w:rsid w:val="009A2FCE"/>
    <w:rsid w:val="009A34FF"/>
    <w:rsid w:val="009A4792"/>
    <w:rsid w:val="009B16DC"/>
    <w:rsid w:val="009B2D3D"/>
    <w:rsid w:val="009B6EC7"/>
    <w:rsid w:val="009C05B8"/>
    <w:rsid w:val="009D0DC4"/>
    <w:rsid w:val="009D2603"/>
    <w:rsid w:val="009D280B"/>
    <w:rsid w:val="009D2BDF"/>
    <w:rsid w:val="009D45F9"/>
    <w:rsid w:val="009D488C"/>
    <w:rsid w:val="009D6431"/>
    <w:rsid w:val="009D7E2D"/>
    <w:rsid w:val="009E1240"/>
    <w:rsid w:val="009E3DCD"/>
    <w:rsid w:val="009E4E5A"/>
    <w:rsid w:val="009E51C0"/>
    <w:rsid w:val="009F53B6"/>
    <w:rsid w:val="00A022C7"/>
    <w:rsid w:val="00A02EDE"/>
    <w:rsid w:val="00A03364"/>
    <w:rsid w:val="00A040CA"/>
    <w:rsid w:val="00A05C8F"/>
    <w:rsid w:val="00A101EA"/>
    <w:rsid w:val="00A10F1F"/>
    <w:rsid w:val="00A2256A"/>
    <w:rsid w:val="00A3584C"/>
    <w:rsid w:val="00A358A5"/>
    <w:rsid w:val="00A36554"/>
    <w:rsid w:val="00A47B89"/>
    <w:rsid w:val="00A52008"/>
    <w:rsid w:val="00A526AE"/>
    <w:rsid w:val="00A57586"/>
    <w:rsid w:val="00A606A4"/>
    <w:rsid w:val="00A63838"/>
    <w:rsid w:val="00A64E44"/>
    <w:rsid w:val="00A80F6C"/>
    <w:rsid w:val="00A83BBD"/>
    <w:rsid w:val="00A86427"/>
    <w:rsid w:val="00A86579"/>
    <w:rsid w:val="00A87057"/>
    <w:rsid w:val="00A94FFA"/>
    <w:rsid w:val="00AA2A99"/>
    <w:rsid w:val="00AA3B44"/>
    <w:rsid w:val="00AA5965"/>
    <w:rsid w:val="00AA5FAC"/>
    <w:rsid w:val="00AC0A44"/>
    <w:rsid w:val="00AC138D"/>
    <w:rsid w:val="00AC18CF"/>
    <w:rsid w:val="00AC7ADE"/>
    <w:rsid w:val="00AD1F8B"/>
    <w:rsid w:val="00AD266D"/>
    <w:rsid w:val="00AD4E00"/>
    <w:rsid w:val="00AD4FAB"/>
    <w:rsid w:val="00AD7C64"/>
    <w:rsid w:val="00AE3A06"/>
    <w:rsid w:val="00AE3A49"/>
    <w:rsid w:val="00AE5F2B"/>
    <w:rsid w:val="00AE7035"/>
    <w:rsid w:val="00AF027B"/>
    <w:rsid w:val="00AF2297"/>
    <w:rsid w:val="00AF3004"/>
    <w:rsid w:val="00AF66B4"/>
    <w:rsid w:val="00B00352"/>
    <w:rsid w:val="00B00421"/>
    <w:rsid w:val="00B00CC2"/>
    <w:rsid w:val="00B03BBF"/>
    <w:rsid w:val="00B07DF1"/>
    <w:rsid w:val="00B1208A"/>
    <w:rsid w:val="00B17CFA"/>
    <w:rsid w:val="00B2190A"/>
    <w:rsid w:val="00B234C6"/>
    <w:rsid w:val="00B272E6"/>
    <w:rsid w:val="00B326CB"/>
    <w:rsid w:val="00B34C8D"/>
    <w:rsid w:val="00B40647"/>
    <w:rsid w:val="00B4094B"/>
    <w:rsid w:val="00B43817"/>
    <w:rsid w:val="00B55114"/>
    <w:rsid w:val="00B567C7"/>
    <w:rsid w:val="00B63AB6"/>
    <w:rsid w:val="00B71119"/>
    <w:rsid w:val="00B75E90"/>
    <w:rsid w:val="00B77978"/>
    <w:rsid w:val="00B833EC"/>
    <w:rsid w:val="00B93A27"/>
    <w:rsid w:val="00B944CF"/>
    <w:rsid w:val="00BA227C"/>
    <w:rsid w:val="00BA3693"/>
    <w:rsid w:val="00BA3BA3"/>
    <w:rsid w:val="00BA3C25"/>
    <w:rsid w:val="00BB4071"/>
    <w:rsid w:val="00BB53F8"/>
    <w:rsid w:val="00BB57F4"/>
    <w:rsid w:val="00BB73A9"/>
    <w:rsid w:val="00BC1033"/>
    <w:rsid w:val="00BC1513"/>
    <w:rsid w:val="00BC4E73"/>
    <w:rsid w:val="00BD400F"/>
    <w:rsid w:val="00BD6763"/>
    <w:rsid w:val="00BE6BA3"/>
    <w:rsid w:val="00BF155D"/>
    <w:rsid w:val="00BF1578"/>
    <w:rsid w:val="00BF33AE"/>
    <w:rsid w:val="00C056DC"/>
    <w:rsid w:val="00C11211"/>
    <w:rsid w:val="00C14F9B"/>
    <w:rsid w:val="00C1515C"/>
    <w:rsid w:val="00C346AD"/>
    <w:rsid w:val="00C364A9"/>
    <w:rsid w:val="00C41B5E"/>
    <w:rsid w:val="00C41F81"/>
    <w:rsid w:val="00C43F4B"/>
    <w:rsid w:val="00C505D6"/>
    <w:rsid w:val="00C539DB"/>
    <w:rsid w:val="00C556D1"/>
    <w:rsid w:val="00C56B2A"/>
    <w:rsid w:val="00C60C6B"/>
    <w:rsid w:val="00C7205E"/>
    <w:rsid w:val="00C805E8"/>
    <w:rsid w:val="00C82872"/>
    <w:rsid w:val="00C84E13"/>
    <w:rsid w:val="00C855FA"/>
    <w:rsid w:val="00C87E6B"/>
    <w:rsid w:val="00C95D2B"/>
    <w:rsid w:val="00C96375"/>
    <w:rsid w:val="00CA1A73"/>
    <w:rsid w:val="00CA3487"/>
    <w:rsid w:val="00CA697A"/>
    <w:rsid w:val="00CA6EE8"/>
    <w:rsid w:val="00CB2A04"/>
    <w:rsid w:val="00CB6941"/>
    <w:rsid w:val="00CB7436"/>
    <w:rsid w:val="00CC0D47"/>
    <w:rsid w:val="00CC402D"/>
    <w:rsid w:val="00CD1D75"/>
    <w:rsid w:val="00CD3CF1"/>
    <w:rsid w:val="00CE5204"/>
    <w:rsid w:val="00CE733B"/>
    <w:rsid w:val="00CF10E7"/>
    <w:rsid w:val="00CF560A"/>
    <w:rsid w:val="00D00630"/>
    <w:rsid w:val="00D01C3C"/>
    <w:rsid w:val="00D02941"/>
    <w:rsid w:val="00D12183"/>
    <w:rsid w:val="00D12D27"/>
    <w:rsid w:val="00D13D74"/>
    <w:rsid w:val="00D208AD"/>
    <w:rsid w:val="00D2218C"/>
    <w:rsid w:val="00D239BA"/>
    <w:rsid w:val="00D24835"/>
    <w:rsid w:val="00D24D8F"/>
    <w:rsid w:val="00D25B62"/>
    <w:rsid w:val="00D3501D"/>
    <w:rsid w:val="00D422B0"/>
    <w:rsid w:val="00D424B2"/>
    <w:rsid w:val="00D52B50"/>
    <w:rsid w:val="00D53234"/>
    <w:rsid w:val="00D55624"/>
    <w:rsid w:val="00D55A81"/>
    <w:rsid w:val="00D560FB"/>
    <w:rsid w:val="00D615DB"/>
    <w:rsid w:val="00D657F3"/>
    <w:rsid w:val="00D667DF"/>
    <w:rsid w:val="00D70A95"/>
    <w:rsid w:val="00D77018"/>
    <w:rsid w:val="00D776F3"/>
    <w:rsid w:val="00D806DE"/>
    <w:rsid w:val="00D81BD2"/>
    <w:rsid w:val="00D823E2"/>
    <w:rsid w:val="00D836CA"/>
    <w:rsid w:val="00D90BCA"/>
    <w:rsid w:val="00D9624E"/>
    <w:rsid w:val="00D97FA9"/>
    <w:rsid w:val="00DA49C7"/>
    <w:rsid w:val="00DA631D"/>
    <w:rsid w:val="00DB1825"/>
    <w:rsid w:val="00DB3DD5"/>
    <w:rsid w:val="00DC00EB"/>
    <w:rsid w:val="00DC42ED"/>
    <w:rsid w:val="00DD0630"/>
    <w:rsid w:val="00DD0C6F"/>
    <w:rsid w:val="00DD7613"/>
    <w:rsid w:val="00DE0313"/>
    <w:rsid w:val="00DE03AC"/>
    <w:rsid w:val="00DE22DF"/>
    <w:rsid w:val="00DE3081"/>
    <w:rsid w:val="00DF2516"/>
    <w:rsid w:val="00DF254F"/>
    <w:rsid w:val="00DF54B9"/>
    <w:rsid w:val="00DF59CB"/>
    <w:rsid w:val="00E00CCE"/>
    <w:rsid w:val="00E07BEB"/>
    <w:rsid w:val="00E11071"/>
    <w:rsid w:val="00E163DC"/>
    <w:rsid w:val="00E16770"/>
    <w:rsid w:val="00E17190"/>
    <w:rsid w:val="00E17732"/>
    <w:rsid w:val="00E23781"/>
    <w:rsid w:val="00E24651"/>
    <w:rsid w:val="00E24A80"/>
    <w:rsid w:val="00E268B8"/>
    <w:rsid w:val="00E4023A"/>
    <w:rsid w:val="00E41F0A"/>
    <w:rsid w:val="00E4391C"/>
    <w:rsid w:val="00E447A9"/>
    <w:rsid w:val="00E453FC"/>
    <w:rsid w:val="00E4576C"/>
    <w:rsid w:val="00E5052A"/>
    <w:rsid w:val="00E51F1A"/>
    <w:rsid w:val="00E53555"/>
    <w:rsid w:val="00E54706"/>
    <w:rsid w:val="00E54DF1"/>
    <w:rsid w:val="00E55094"/>
    <w:rsid w:val="00E56275"/>
    <w:rsid w:val="00E6157D"/>
    <w:rsid w:val="00E65134"/>
    <w:rsid w:val="00E658C4"/>
    <w:rsid w:val="00E70B93"/>
    <w:rsid w:val="00E72AA7"/>
    <w:rsid w:val="00E77EC8"/>
    <w:rsid w:val="00E85C7C"/>
    <w:rsid w:val="00E867CA"/>
    <w:rsid w:val="00E93319"/>
    <w:rsid w:val="00E94166"/>
    <w:rsid w:val="00EA4D68"/>
    <w:rsid w:val="00EA6864"/>
    <w:rsid w:val="00EB1635"/>
    <w:rsid w:val="00EB17FB"/>
    <w:rsid w:val="00EB38C5"/>
    <w:rsid w:val="00EB54CE"/>
    <w:rsid w:val="00EB609C"/>
    <w:rsid w:val="00EC5673"/>
    <w:rsid w:val="00EC6ADB"/>
    <w:rsid w:val="00ED163F"/>
    <w:rsid w:val="00ED3999"/>
    <w:rsid w:val="00EF5D72"/>
    <w:rsid w:val="00F002A6"/>
    <w:rsid w:val="00F01810"/>
    <w:rsid w:val="00F0375D"/>
    <w:rsid w:val="00F0449F"/>
    <w:rsid w:val="00F04B91"/>
    <w:rsid w:val="00F104EA"/>
    <w:rsid w:val="00F119C8"/>
    <w:rsid w:val="00F217F8"/>
    <w:rsid w:val="00F259AF"/>
    <w:rsid w:val="00F273CB"/>
    <w:rsid w:val="00F27A32"/>
    <w:rsid w:val="00F31144"/>
    <w:rsid w:val="00F351E7"/>
    <w:rsid w:val="00F502E2"/>
    <w:rsid w:val="00F55D7F"/>
    <w:rsid w:val="00F602C8"/>
    <w:rsid w:val="00F61F0A"/>
    <w:rsid w:val="00F672E6"/>
    <w:rsid w:val="00F67682"/>
    <w:rsid w:val="00F73B56"/>
    <w:rsid w:val="00F825C6"/>
    <w:rsid w:val="00F84C22"/>
    <w:rsid w:val="00F85B5B"/>
    <w:rsid w:val="00F90DE5"/>
    <w:rsid w:val="00F90ECB"/>
    <w:rsid w:val="00F914FC"/>
    <w:rsid w:val="00FA03A7"/>
    <w:rsid w:val="00FA1868"/>
    <w:rsid w:val="00FB0C2C"/>
    <w:rsid w:val="00FB32CD"/>
    <w:rsid w:val="00FB44F0"/>
    <w:rsid w:val="00FC5070"/>
    <w:rsid w:val="00FC77FF"/>
    <w:rsid w:val="00FD11FC"/>
    <w:rsid w:val="00FD6571"/>
    <w:rsid w:val="00FD65E5"/>
    <w:rsid w:val="00FD7A8D"/>
    <w:rsid w:val="00FF0EE4"/>
    <w:rsid w:val="00FF15D7"/>
    <w:rsid w:val="00FF2525"/>
    <w:rsid w:val="00FF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FE7FCD"/>
  <w15:docId w15:val="{33965FD7-7D50-4AB6-B1B2-E9C9C085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83A"/>
  </w:style>
  <w:style w:type="paragraph" w:styleId="Footer">
    <w:name w:val="footer"/>
    <w:basedOn w:val="Normal"/>
    <w:link w:val="FooterChar"/>
    <w:uiPriority w:val="99"/>
    <w:unhideWhenUsed/>
    <w:rsid w:val="008D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83A"/>
  </w:style>
  <w:style w:type="paragraph" w:customStyle="1" w:styleId="Default">
    <w:name w:val="Default"/>
    <w:rsid w:val="00573FF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73FF8"/>
    <w:pPr>
      <w:ind w:left="720"/>
      <w:contextualSpacing/>
    </w:pPr>
  </w:style>
  <w:style w:type="paragraph" w:styleId="BalloonText">
    <w:name w:val="Balloon Text"/>
    <w:basedOn w:val="Normal"/>
    <w:link w:val="BalloonTextChar"/>
    <w:uiPriority w:val="99"/>
    <w:semiHidden/>
    <w:unhideWhenUsed/>
    <w:rsid w:val="00835D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D35"/>
    <w:rPr>
      <w:rFonts w:ascii="Tahoma" w:hAnsi="Tahoma" w:cs="Tahoma"/>
      <w:sz w:val="16"/>
      <w:szCs w:val="16"/>
    </w:rPr>
  </w:style>
  <w:style w:type="character" w:styleId="CommentReference">
    <w:name w:val="annotation reference"/>
    <w:uiPriority w:val="99"/>
    <w:semiHidden/>
    <w:unhideWhenUsed/>
    <w:rsid w:val="005E0726"/>
    <w:rPr>
      <w:sz w:val="16"/>
      <w:szCs w:val="16"/>
    </w:rPr>
  </w:style>
  <w:style w:type="paragraph" w:styleId="CommentText">
    <w:name w:val="annotation text"/>
    <w:basedOn w:val="Normal"/>
    <w:link w:val="CommentTextChar"/>
    <w:uiPriority w:val="99"/>
    <w:semiHidden/>
    <w:unhideWhenUsed/>
    <w:rsid w:val="005E0726"/>
    <w:rPr>
      <w:sz w:val="20"/>
      <w:szCs w:val="20"/>
    </w:rPr>
  </w:style>
  <w:style w:type="character" w:customStyle="1" w:styleId="CommentTextChar">
    <w:name w:val="Comment Text Char"/>
    <w:basedOn w:val="DefaultParagraphFont"/>
    <w:link w:val="CommentText"/>
    <w:uiPriority w:val="99"/>
    <w:semiHidden/>
    <w:rsid w:val="005E0726"/>
  </w:style>
  <w:style w:type="paragraph" w:styleId="CommentSubject">
    <w:name w:val="annotation subject"/>
    <w:basedOn w:val="CommentText"/>
    <w:next w:val="CommentText"/>
    <w:link w:val="CommentSubjectChar"/>
    <w:uiPriority w:val="99"/>
    <w:semiHidden/>
    <w:unhideWhenUsed/>
    <w:rsid w:val="005E0726"/>
    <w:rPr>
      <w:b/>
      <w:bCs/>
    </w:rPr>
  </w:style>
  <w:style w:type="character" w:customStyle="1" w:styleId="CommentSubjectChar">
    <w:name w:val="Comment Subject Char"/>
    <w:link w:val="CommentSubject"/>
    <w:uiPriority w:val="99"/>
    <w:semiHidden/>
    <w:rsid w:val="005E0726"/>
    <w:rPr>
      <w:b/>
      <w:bCs/>
    </w:rPr>
  </w:style>
  <w:style w:type="paragraph" w:styleId="BodyTextIndent">
    <w:name w:val="Body Text Indent"/>
    <w:basedOn w:val="Normal"/>
    <w:link w:val="BodyTextIndentChar"/>
    <w:uiPriority w:val="99"/>
    <w:semiHidden/>
    <w:rsid w:val="00D9624E"/>
    <w:pPr>
      <w:widowControl w:val="0"/>
      <w:tabs>
        <w:tab w:val="left" w:pos="-720"/>
      </w:tabs>
      <w:suppressAutoHyphens/>
      <w:spacing w:after="0" w:line="240" w:lineRule="auto"/>
      <w:ind w:left="720"/>
    </w:pPr>
    <w:rPr>
      <w:rFonts w:ascii="Courier" w:eastAsia="Times New Roman" w:hAnsi="Courier"/>
      <w:sz w:val="24"/>
      <w:szCs w:val="24"/>
    </w:rPr>
  </w:style>
  <w:style w:type="character" w:customStyle="1" w:styleId="BodyTextIndentChar">
    <w:name w:val="Body Text Indent Char"/>
    <w:link w:val="BodyTextIndent"/>
    <w:uiPriority w:val="99"/>
    <w:semiHidden/>
    <w:rsid w:val="00D9624E"/>
    <w:rPr>
      <w:rFonts w:ascii="Courier" w:eastAsia="Times New Roman" w:hAnsi="Courier"/>
      <w:sz w:val="24"/>
      <w:szCs w:val="24"/>
    </w:rPr>
  </w:style>
  <w:style w:type="character" w:styleId="Hyperlink">
    <w:name w:val="Hyperlink"/>
    <w:uiPriority w:val="99"/>
    <w:unhideWhenUsed/>
    <w:rsid w:val="009511F4"/>
    <w:rPr>
      <w:color w:val="0563C1"/>
      <w:u w:val="single"/>
    </w:rPr>
  </w:style>
  <w:style w:type="character" w:styleId="FollowedHyperlink">
    <w:name w:val="FollowedHyperlink"/>
    <w:uiPriority w:val="99"/>
    <w:semiHidden/>
    <w:unhideWhenUsed/>
    <w:rsid w:val="009F53B6"/>
    <w:rPr>
      <w:color w:val="954F72"/>
      <w:u w:val="single"/>
    </w:rPr>
  </w:style>
  <w:style w:type="table" w:styleId="TableGrid">
    <w:name w:val="Table Grid"/>
    <w:basedOn w:val="TableNormal"/>
    <w:uiPriority w:val="59"/>
    <w:rsid w:val="0029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79C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1817">
      <w:bodyDiv w:val="1"/>
      <w:marLeft w:val="0"/>
      <w:marRight w:val="0"/>
      <w:marTop w:val="0"/>
      <w:marBottom w:val="0"/>
      <w:divBdr>
        <w:top w:val="none" w:sz="0" w:space="0" w:color="auto"/>
        <w:left w:val="none" w:sz="0" w:space="0" w:color="auto"/>
        <w:bottom w:val="none" w:sz="0" w:space="0" w:color="auto"/>
        <w:right w:val="none" w:sz="0" w:space="0" w:color="auto"/>
      </w:divBdr>
    </w:div>
    <w:div w:id="64693678">
      <w:bodyDiv w:val="1"/>
      <w:marLeft w:val="0"/>
      <w:marRight w:val="0"/>
      <w:marTop w:val="0"/>
      <w:marBottom w:val="0"/>
      <w:divBdr>
        <w:top w:val="none" w:sz="0" w:space="0" w:color="auto"/>
        <w:left w:val="none" w:sz="0" w:space="0" w:color="auto"/>
        <w:bottom w:val="none" w:sz="0" w:space="0" w:color="auto"/>
        <w:right w:val="none" w:sz="0" w:space="0" w:color="auto"/>
      </w:divBdr>
    </w:div>
    <w:div w:id="855538430">
      <w:bodyDiv w:val="1"/>
      <w:marLeft w:val="0"/>
      <w:marRight w:val="0"/>
      <w:marTop w:val="0"/>
      <w:marBottom w:val="0"/>
      <w:divBdr>
        <w:top w:val="none" w:sz="0" w:space="0" w:color="auto"/>
        <w:left w:val="none" w:sz="0" w:space="0" w:color="auto"/>
        <w:bottom w:val="none" w:sz="0" w:space="0" w:color="auto"/>
        <w:right w:val="none" w:sz="0" w:space="0" w:color="auto"/>
      </w:divBdr>
    </w:div>
    <w:div w:id="965429994">
      <w:bodyDiv w:val="1"/>
      <w:marLeft w:val="0"/>
      <w:marRight w:val="0"/>
      <w:marTop w:val="0"/>
      <w:marBottom w:val="0"/>
      <w:divBdr>
        <w:top w:val="none" w:sz="0" w:space="0" w:color="auto"/>
        <w:left w:val="none" w:sz="0" w:space="0" w:color="auto"/>
        <w:bottom w:val="none" w:sz="0" w:space="0" w:color="auto"/>
        <w:right w:val="none" w:sz="0" w:space="0" w:color="auto"/>
      </w:divBdr>
    </w:div>
    <w:div w:id="1116634740">
      <w:bodyDiv w:val="1"/>
      <w:marLeft w:val="0"/>
      <w:marRight w:val="0"/>
      <w:marTop w:val="0"/>
      <w:marBottom w:val="0"/>
      <w:divBdr>
        <w:top w:val="none" w:sz="0" w:space="0" w:color="auto"/>
        <w:left w:val="none" w:sz="0" w:space="0" w:color="auto"/>
        <w:bottom w:val="none" w:sz="0" w:space="0" w:color="auto"/>
        <w:right w:val="none" w:sz="0" w:space="0" w:color="auto"/>
      </w:divBdr>
    </w:div>
    <w:div w:id="1147086425">
      <w:bodyDiv w:val="1"/>
      <w:marLeft w:val="0"/>
      <w:marRight w:val="0"/>
      <w:marTop w:val="0"/>
      <w:marBottom w:val="0"/>
      <w:divBdr>
        <w:top w:val="none" w:sz="0" w:space="0" w:color="auto"/>
        <w:left w:val="none" w:sz="0" w:space="0" w:color="auto"/>
        <w:bottom w:val="none" w:sz="0" w:space="0" w:color="auto"/>
        <w:right w:val="none" w:sz="0" w:space="0" w:color="auto"/>
      </w:divBdr>
    </w:div>
    <w:div w:id="1176119200">
      <w:bodyDiv w:val="1"/>
      <w:marLeft w:val="0"/>
      <w:marRight w:val="0"/>
      <w:marTop w:val="0"/>
      <w:marBottom w:val="0"/>
      <w:divBdr>
        <w:top w:val="none" w:sz="0" w:space="0" w:color="auto"/>
        <w:left w:val="none" w:sz="0" w:space="0" w:color="auto"/>
        <w:bottom w:val="none" w:sz="0" w:space="0" w:color="auto"/>
        <w:right w:val="none" w:sz="0" w:space="0" w:color="auto"/>
      </w:divBdr>
    </w:div>
    <w:div w:id="1270743372">
      <w:bodyDiv w:val="1"/>
      <w:marLeft w:val="0"/>
      <w:marRight w:val="0"/>
      <w:marTop w:val="0"/>
      <w:marBottom w:val="0"/>
      <w:divBdr>
        <w:top w:val="none" w:sz="0" w:space="0" w:color="auto"/>
        <w:left w:val="none" w:sz="0" w:space="0" w:color="auto"/>
        <w:bottom w:val="none" w:sz="0" w:space="0" w:color="auto"/>
        <w:right w:val="none" w:sz="0" w:space="0" w:color="auto"/>
      </w:divBdr>
    </w:div>
    <w:div w:id="1308245184">
      <w:bodyDiv w:val="1"/>
      <w:marLeft w:val="0"/>
      <w:marRight w:val="0"/>
      <w:marTop w:val="0"/>
      <w:marBottom w:val="0"/>
      <w:divBdr>
        <w:top w:val="none" w:sz="0" w:space="0" w:color="auto"/>
        <w:left w:val="none" w:sz="0" w:space="0" w:color="auto"/>
        <w:bottom w:val="none" w:sz="0" w:space="0" w:color="auto"/>
        <w:right w:val="none" w:sz="0" w:space="0" w:color="auto"/>
      </w:divBdr>
    </w:div>
    <w:div w:id="1404985921">
      <w:bodyDiv w:val="1"/>
      <w:marLeft w:val="0"/>
      <w:marRight w:val="0"/>
      <w:marTop w:val="0"/>
      <w:marBottom w:val="0"/>
      <w:divBdr>
        <w:top w:val="none" w:sz="0" w:space="0" w:color="auto"/>
        <w:left w:val="none" w:sz="0" w:space="0" w:color="auto"/>
        <w:bottom w:val="none" w:sz="0" w:space="0" w:color="auto"/>
        <w:right w:val="none" w:sz="0" w:space="0" w:color="auto"/>
      </w:divBdr>
    </w:div>
    <w:div w:id="21419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ccs.edu/workforce" TargetMode="External"/><Relationship Id="rId5" Type="http://schemas.openxmlformats.org/officeDocument/2006/relationships/webSettings" Target="webSettings.xml"/><Relationship Id="rId10" Type="http://schemas.openxmlformats.org/officeDocument/2006/relationships/hyperlink" Target="mailto:WIOA@vcc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065E-132E-4935-BF8B-F43FEF9D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1806</Words>
  <Characters>10296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12078</CharactersWithSpaces>
  <SharedDoc>false</SharedDoc>
  <HLinks>
    <vt:vector size="12" baseType="variant">
      <vt:variant>
        <vt:i4>6815850</vt:i4>
      </vt:variant>
      <vt:variant>
        <vt:i4>3</vt:i4>
      </vt:variant>
      <vt:variant>
        <vt:i4>0</vt:i4>
      </vt:variant>
      <vt:variant>
        <vt:i4>5</vt:i4>
      </vt:variant>
      <vt:variant>
        <vt:lpwstr>http://www.elevatevirginia.org/wp-content/uploads/2014/04/VWL_14_07_System-Adminstrator-Duties_12012014.pdf</vt:lpwstr>
      </vt:variant>
      <vt:variant>
        <vt:lpwstr/>
      </vt:variant>
      <vt:variant>
        <vt:i4>4390916</vt:i4>
      </vt:variant>
      <vt:variant>
        <vt:i4>0</vt:i4>
      </vt:variant>
      <vt:variant>
        <vt:i4>0</vt:i4>
      </vt:variant>
      <vt:variant>
        <vt:i4>5</vt:i4>
      </vt:variant>
      <vt:variant>
        <vt:lpwstr>http://www.elevatevirginia.org/wp-content/uploads/2014/04/VBWD-15-02-Eligible-Training-Provider-Policy-FINAL.pdf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Williams</dc:creator>
  <cp:keywords/>
  <dc:description/>
  <cp:lastModifiedBy>Maria Onsel</cp:lastModifiedBy>
  <cp:revision>2</cp:revision>
  <cp:lastPrinted>2016-11-17T21:19:00Z</cp:lastPrinted>
  <dcterms:created xsi:type="dcterms:W3CDTF">2023-01-20T18:14:00Z</dcterms:created>
  <dcterms:modified xsi:type="dcterms:W3CDTF">2023-01-20T18:14:00Z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a7a1fb-3f48-4fd9-bce0-6283cfafd648_Enabled">
    <vt:lpwstr>true</vt:lpwstr>
  </property>
  <property fmtid="{D5CDD505-2E9C-101B-9397-08002B2CF9AE}" pid="4" name="MSIP_Label_ffa7a1fb-3f48-4fd9-bce0-6283cfafd648_SetDate">
    <vt:lpwstr>2022-10-28T14:46:26Z</vt:lpwstr>
  </property>
  <property fmtid="{D5CDD505-2E9C-101B-9397-08002B2CF9AE}" pid="5" name="MSIP_Label_ffa7a1fb-3f48-4fd9-bce0-6283cfafd648_Method">
    <vt:lpwstr>Standard</vt:lpwstr>
  </property>
  <property fmtid="{D5CDD505-2E9C-101B-9397-08002B2CF9AE}" pid="6" name="MSIP_Label_ffa7a1fb-3f48-4fd9-bce0-6283cfafd648_Name">
    <vt:lpwstr>defa4170-0d19-0005-0004-bc88714345d2</vt:lpwstr>
  </property>
  <property fmtid="{D5CDD505-2E9C-101B-9397-08002B2CF9AE}" pid="7" name="MSIP_Label_ffa7a1fb-3f48-4fd9-bce0-6283cfafd648_SiteId">
    <vt:lpwstr>fab6beb5-3604-42df-bddc-f4e9ddd654d5</vt:lpwstr>
  </property>
  <property fmtid="{D5CDD505-2E9C-101B-9397-08002B2CF9AE}" pid="8" name="MSIP_Label_ffa7a1fb-3f48-4fd9-bce0-6283cfafd648_ActionId">
    <vt:lpwstr>003c88fd-a0aa-4559-aef8-c79a73031684</vt:lpwstr>
  </property>
  <property fmtid="{D5CDD505-2E9C-101B-9397-08002B2CF9AE}" pid="9" name="MSIP_Label_ffa7a1fb-3f48-4fd9-bce0-6283cfafd648_ContentBits">
    <vt:lpwstr>0</vt:lpwstr>
  </property>
</Properties>
</file>